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9F72E" w14:textId="20D0D023" w:rsidR="00D25FD1" w:rsidRPr="00BC38D5" w:rsidRDefault="00D25FD1" w:rsidP="00F363D9">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w:t>
      </w:r>
      <w:r w:rsidR="00CA3CB1">
        <w:rPr>
          <w:rFonts w:ascii="Arial" w:hAnsi="Arial" w:cs="Arial"/>
          <w:sz w:val="24"/>
          <w:szCs w:val="24"/>
        </w:rPr>
        <w:t>7</w:t>
      </w:r>
      <w:r w:rsidRPr="00BC38D5">
        <w:rPr>
          <w:rFonts w:ascii="Arial" w:hAnsi="Arial" w:cs="Arial"/>
          <w:sz w:val="24"/>
          <w:szCs w:val="24"/>
        </w:rPr>
        <w:tab/>
      </w:r>
      <w:r w:rsidR="00F363D9" w:rsidRPr="00F363D9">
        <w:rPr>
          <w:rFonts w:ascii="Arial" w:hAnsi="Arial" w:cs="Arial"/>
          <w:sz w:val="24"/>
          <w:szCs w:val="24"/>
          <w:lang w:val="en-US"/>
        </w:rPr>
        <w:t>R1-190</w:t>
      </w:r>
      <w:r w:rsidR="0017034E">
        <w:rPr>
          <w:rFonts w:ascii="Arial" w:hAnsi="Arial" w:cs="Arial"/>
          <w:sz w:val="24"/>
          <w:szCs w:val="24"/>
          <w:lang w:val="en-US"/>
        </w:rPr>
        <w:t>7247</w:t>
      </w:r>
    </w:p>
    <w:p w14:paraId="768C6CA9" w14:textId="1DA0AD2E" w:rsidR="00D25FD1" w:rsidRPr="00F8324B" w:rsidRDefault="00CA3CB1" w:rsidP="00F363D9">
      <w:pPr>
        <w:spacing w:after="0"/>
        <w:rPr>
          <w:rFonts w:ascii="Arial" w:hAnsi="Arial" w:cs="Arial"/>
          <w:sz w:val="24"/>
          <w:szCs w:val="24"/>
        </w:rPr>
      </w:pPr>
      <w:r>
        <w:rPr>
          <w:rFonts w:ascii="Arial" w:hAnsi="Arial" w:cs="Arial"/>
          <w:sz w:val="24"/>
          <w:szCs w:val="24"/>
        </w:rPr>
        <w:t>Reno</w:t>
      </w:r>
      <w:r w:rsidR="00D25FD1">
        <w:rPr>
          <w:rFonts w:ascii="Arial" w:hAnsi="Arial" w:cs="Arial"/>
          <w:sz w:val="24"/>
          <w:szCs w:val="24"/>
        </w:rPr>
        <w:t xml:space="preserve">, </w:t>
      </w:r>
      <w:r>
        <w:rPr>
          <w:rFonts w:ascii="Arial" w:hAnsi="Arial" w:cs="Arial"/>
          <w:sz w:val="24"/>
          <w:szCs w:val="24"/>
        </w:rPr>
        <w:t>USA</w:t>
      </w:r>
      <w:r w:rsidR="00D25FD1">
        <w:rPr>
          <w:rFonts w:ascii="Arial" w:hAnsi="Arial" w:cs="Arial"/>
          <w:sz w:val="24"/>
          <w:szCs w:val="24"/>
        </w:rPr>
        <w:t xml:space="preserve">, </w:t>
      </w:r>
      <w:r>
        <w:rPr>
          <w:rFonts w:ascii="Arial" w:hAnsi="Arial" w:cs="Arial"/>
          <w:sz w:val="24"/>
          <w:szCs w:val="24"/>
        </w:rPr>
        <w:t>13</w:t>
      </w:r>
      <w:r w:rsidR="00F363D9" w:rsidRPr="00F363D9">
        <w:rPr>
          <w:rFonts w:ascii="Arial" w:hAnsi="Arial" w:cs="Arial"/>
          <w:sz w:val="24"/>
          <w:szCs w:val="24"/>
          <w:vertAlign w:val="superscript"/>
        </w:rPr>
        <w:t>th</w:t>
      </w:r>
      <w:r w:rsidR="00F363D9">
        <w:rPr>
          <w:rFonts w:ascii="Arial" w:hAnsi="Arial" w:cs="Arial"/>
          <w:sz w:val="24"/>
          <w:szCs w:val="24"/>
        </w:rPr>
        <w:t xml:space="preserve"> </w:t>
      </w:r>
      <w:r w:rsidR="00D25FD1">
        <w:rPr>
          <w:rFonts w:ascii="Arial" w:hAnsi="Arial" w:cs="Arial"/>
          <w:sz w:val="24"/>
          <w:szCs w:val="24"/>
        </w:rPr>
        <w:t xml:space="preserve">– </w:t>
      </w:r>
      <w:r w:rsidR="00F363D9">
        <w:rPr>
          <w:rFonts w:ascii="Arial" w:hAnsi="Arial" w:cs="Arial"/>
          <w:sz w:val="24"/>
          <w:szCs w:val="24"/>
        </w:rPr>
        <w:t>1</w:t>
      </w:r>
      <w:r>
        <w:rPr>
          <w:rFonts w:ascii="Arial" w:hAnsi="Arial" w:cs="Arial"/>
          <w:sz w:val="24"/>
          <w:szCs w:val="24"/>
        </w:rPr>
        <w:t>7</w:t>
      </w:r>
      <w:r w:rsidR="00F363D9" w:rsidRPr="00F363D9">
        <w:rPr>
          <w:rFonts w:ascii="Arial" w:hAnsi="Arial" w:cs="Arial"/>
          <w:sz w:val="24"/>
          <w:szCs w:val="24"/>
          <w:vertAlign w:val="superscript"/>
        </w:rPr>
        <w:t>th</w:t>
      </w:r>
      <w:r w:rsidR="00F363D9">
        <w:rPr>
          <w:rFonts w:ascii="Arial" w:hAnsi="Arial" w:cs="Arial"/>
          <w:sz w:val="24"/>
          <w:szCs w:val="24"/>
        </w:rPr>
        <w:t xml:space="preserve"> </w:t>
      </w:r>
      <w:r>
        <w:rPr>
          <w:rFonts w:ascii="Arial" w:hAnsi="Arial" w:cs="Arial"/>
          <w:sz w:val="24"/>
          <w:szCs w:val="24"/>
        </w:rPr>
        <w:t xml:space="preserve">May </w:t>
      </w:r>
      <w:r w:rsidR="00D25FD1">
        <w:rPr>
          <w:rFonts w:ascii="Arial" w:hAnsi="Arial" w:cs="Arial"/>
          <w:sz w:val="24"/>
          <w:szCs w:val="24"/>
        </w:rPr>
        <w:t>2019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82083FF" w:rsidR="009A0B47" w:rsidRPr="008D44EF" w:rsidRDefault="009A0B47" w:rsidP="00650BA3">
      <w:pPr>
        <w:tabs>
          <w:tab w:val="left" w:pos="1985"/>
        </w:tabs>
        <w:spacing w:after="120"/>
        <w:rPr>
          <w:rFonts w:ascii="Arial" w:hAnsi="Arial"/>
          <w:sz w:val="24"/>
          <w:lang w:val="en-US"/>
        </w:rPr>
      </w:pPr>
      <w:r w:rsidRPr="00650BA3">
        <w:rPr>
          <w:rFonts w:ascii="Arial" w:hAnsi="Arial"/>
          <w:b/>
          <w:sz w:val="24"/>
          <w:lang w:val="en-US"/>
        </w:rPr>
        <w:t>Agenda item:</w:t>
      </w:r>
      <w:r w:rsidRPr="00650BA3">
        <w:rPr>
          <w:rFonts w:ascii="Arial" w:hAnsi="Arial"/>
          <w:sz w:val="24"/>
          <w:lang w:val="en-US"/>
        </w:rPr>
        <w:tab/>
      </w:r>
      <w:bookmarkStart w:id="0" w:name="Source"/>
      <w:bookmarkEnd w:id="0"/>
      <w:r w:rsidRPr="00650BA3">
        <w:rPr>
          <w:rFonts w:ascii="Arial" w:hAnsi="Arial"/>
          <w:sz w:val="24"/>
          <w:lang w:val="en-US"/>
        </w:rPr>
        <w:t>7.</w:t>
      </w:r>
      <w:r w:rsidR="002E04EC" w:rsidRPr="00650BA3">
        <w:rPr>
          <w:rFonts w:ascii="Arial" w:hAnsi="Arial"/>
          <w:sz w:val="24"/>
          <w:lang w:val="en-US"/>
        </w:rPr>
        <w:t>2.8.</w:t>
      </w:r>
      <w:r w:rsidR="00812CDA">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52748FA6" w:rsidR="009A0B47" w:rsidRPr="00F35722" w:rsidRDefault="009A0B47" w:rsidP="002E04EC">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2E04EC">
        <w:rPr>
          <w:rFonts w:ascii="Arial" w:hAnsi="Arial"/>
          <w:sz w:val="24"/>
        </w:rPr>
        <w:t>P</w:t>
      </w:r>
      <w:r w:rsidR="004E6F83" w:rsidRPr="004E6F83">
        <w:rPr>
          <w:rFonts w:ascii="Arial" w:hAnsi="Arial"/>
          <w:sz w:val="24"/>
        </w:rPr>
        <w:t>ower control</w:t>
      </w:r>
      <w:r>
        <w:rPr>
          <w:rFonts w:ascii="Arial" w:hAnsi="Arial"/>
          <w:sz w:val="24"/>
        </w:rPr>
        <w:t xml:space="preserve"> </w:t>
      </w:r>
      <w:r w:rsidR="002E04EC">
        <w:rPr>
          <w:rFonts w:ascii="Arial" w:hAnsi="Arial"/>
          <w:sz w:val="24"/>
        </w:rPr>
        <w:t xml:space="preserve">for multi-panel </w:t>
      </w:r>
      <w:r w:rsidR="00D9228D">
        <w:rPr>
          <w:rFonts w:ascii="Arial" w:hAnsi="Arial"/>
          <w:sz w:val="24"/>
        </w:rPr>
        <w:t xml:space="preserve">UE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6AD20C1B" w14:textId="5CB7AE1E" w:rsidR="002E04EC" w:rsidRDefault="002E04EC" w:rsidP="00DB491C">
      <w:pPr>
        <w:tabs>
          <w:tab w:val="left" w:pos="1440"/>
        </w:tabs>
        <w:jc w:val="both"/>
        <w:rPr>
          <w:rFonts w:eastAsia="MS Mincho"/>
          <w:lang w:val="en-US" w:eastAsia="ja-JP"/>
        </w:rPr>
      </w:pPr>
      <w:r>
        <w:rPr>
          <w:rFonts w:eastAsia="MS Mincho"/>
          <w:lang w:val="en-US" w:eastAsia="ja-JP"/>
        </w:rPr>
        <w:t xml:space="preserve">Multiple UE-panel operation is a key feature </w:t>
      </w:r>
      <w:r w:rsidR="00DB491C">
        <w:rPr>
          <w:rFonts w:eastAsia="MS Mincho"/>
          <w:lang w:val="en-US" w:eastAsia="ja-JP"/>
        </w:rPr>
        <w:t>in Rel-16 enhanced MIMO (</w:t>
      </w:r>
      <w:proofErr w:type="spellStart"/>
      <w:r w:rsidR="00DB491C">
        <w:rPr>
          <w:rFonts w:eastAsia="MS Mincho"/>
          <w:lang w:val="en-US" w:eastAsia="ja-JP"/>
        </w:rPr>
        <w:t>eMIMO</w:t>
      </w:r>
      <w:proofErr w:type="spellEnd"/>
      <w:r w:rsidR="00DB491C">
        <w:rPr>
          <w:rFonts w:eastAsia="MS Mincho"/>
          <w:lang w:val="en-US" w:eastAsia="ja-JP"/>
        </w:rPr>
        <w:t>)</w:t>
      </w:r>
      <w:r>
        <w:rPr>
          <w:rFonts w:eastAsia="MS Mincho"/>
          <w:lang w:val="en-US" w:eastAsia="ja-JP"/>
        </w:rPr>
        <w:t xml:space="preserve"> to support multi-panel downlink reception at different UE panels from one or more TRPs as well as panel-specific uplink transmission from different UE panels. In particular, it is agreed that Rel-16 will support an ID for </w:t>
      </w:r>
      <w:r w:rsidR="008D4DE4" w:rsidRPr="00FB0CE8">
        <w:rPr>
          <w:szCs w:val="22"/>
        </w:rPr>
        <w:t>indicating panel-specific UL transmission</w:t>
      </w:r>
      <w:r>
        <w:rPr>
          <w:rFonts w:eastAsia="MS Mincho"/>
          <w:lang w:val="en-US" w:eastAsia="ja-JP"/>
        </w:rPr>
        <w:t>, al</w:t>
      </w:r>
      <w:r w:rsidR="00C756AD">
        <w:rPr>
          <w:rFonts w:eastAsia="MS Mincho"/>
          <w:lang w:val="en-US" w:eastAsia="ja-JP"/>
        </w:rPr>
        <w:t>though the details on the UE-</w:t>
      </w:r>
      <w:r w:rsidR="00DB491C">
        <w:rPr>
          <w:rFonts w:eastAsia="MS Mincho"/>
          <w:lang w:val="en-US" w:eastAsia="ja-JP"/>
        </w:rPr>
        <w:t xml:space="preserve">panel ID </w:t>
      </w:r>
      <w:r>
        <w:rPr>
          <w:rFonts w:eastAsia="MS Mincho"/>
          <w:lang w:val="en-US" w:eastAsia="ja-JP"/>
        </w:rPr>
        <w:t>design and its usage</w:t>
      </w:r>
      <w:r w:rsidR="00C756AD">
        <w:rPr>
          <w:rFonts w:eastAsia="MS Mincho"/>
          <w:lang w:val="en-US" w:eastAsia="ja-JP"/>
        </w:rPr>
        <w:t>s</w:t>
      </w:r>
      <w:r>
        <w:rPr>
          <w:rFonts w:eastAsia="MS Mincho"/>
          <w:lang w:val="en-US" w:eastAsia="ja-JP"/>
        </w:rPr>
        <w:t xml:space="preserve"> </w:t>
      </w:r>
      <w:r w:rsidR="00DB491C">
        <w:rPr>
          <w:rFonts w:eastAsia="MS Mincho"/>
          <w:lang w:val="en-US" w:eastAsia="ja-JP"/>
        </w:rPr>
        <w:t>are</w:t>
      </w:r>
      <w:r>
        <w:rPr>
          <w:rFonts w:eastAsia="MS Mincho"/>
          <w:lang w:val="en-US" w:eastAsia="ja-JP"/>
        </w:rPr>
        <w:t xml:space="preserve"> still under discussion. </w:t>
      </w:r>
    </w:p>
    <w:p w14:paraId="33993A8B" w14:textId="77777777" w:rsidR="00FB0CE8" w:rsidRDefault="00FB0CE8" w:rsidP="00FB0CE8">
      <w:pPr>
        <w:tabs>
          <w:tab w:val="left" w:pos="1440"/>
        </w:tabs>
        <w:jc w:val="both"/>
        <w:rPr>
          <w:i/>
        </w:rPr>
      </w:pPr>
      <w:r>
        <w:rPr>
          <w:noProof/>
          <w:lang w:val="en-US"/>
        </w:rPr>
        <mc:AlternateContent>
          <mc:Choice Requires="wps">
            <w:drawing>
              <wp:inline distT="0" distB="0" distL="0" distR="0" wp14:anchorId="1867B7F2" wp14:editId="430E49C4">
                <wp:extent cx="5943600" cy="1330960"/>
                <wp:effectExtent l="0" t="0" r="19050" b="215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30960"/>
                        </a:xfrm>
                        <a:prstGeom prst="rect">
                          <a:avLst/>
                        </a:prstGeom>
                        <a:solidFill>
                          <a:srgbClr val="FFFFFF"/>
                        </a:solidFill>
                        <a:ln w="9525">
                          <a:solidFill>
                            <a:srgbClr val="000000"/>
                          </a:solidFill>
                          <a:miter lim="800000"/>
                          <a:headEnd/>
                          <a:tailEnd/>
                        </a:ln>
                      </wps:spPr>
                      <wps:txb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wps:txbx>
                      <wps:bodyPr rot="0" vert="horz" wrap="square" lIns="91440" tIns="45720" rIns="91440" bIns="45720" anchor="t" anchorCtr="0">
                        <a:noAutofit/>
                      </wps:bodyPr>
                    </wps:wsp>
                  </a:graphicData>
                </a:graphic>
              </wp:inline>
            </w:drawing>
          </mc:Choice>
          <mc:Fallback>
            <w:pict>
              <v:shapetype w14:anchorId="1867B7F2" id="_x0000_t202" coordsize="21600,21600" o:spt="202" path="m,l,21600r21600,l21600,xe">
                <v:stroke joinstyle="miter"/>
                <v:path gradientshapeok="t" o:connecttype="rect"/>
              </v:shapetype>
              <v:shape id="Text Box 1" o:spid="_x0000_s1026" type="#_x0000_t202" style="width:468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">
                <v:textbo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v:textbox>
                <w10:anchorlock/>
              </v:shape>
            </w:pict>
          </mc:Fallback>
        </mc:AlternateContent>
      </w:r>
    </w:p>
    <w:p w14:paraId="6B127DA6" w14:textId="036BE961" w:rsidR="005D608F" w:rsidRDefault="005D608F" w:rsidP="00CD6068">
      <w:pPr>
        <w:tabs>
          <w:tab w:val="left" w:pos="1440"/>
        </w:tabs>
        <w:jc w:val="both"/>
        <w:rPr>
          <w:rFonts w:eastAsia="MS Mincho"/>
          <w:lang w:val="en-US" w:eastAsia="ja-JP"/>
        </w:rPr>
      </w:pPr>
      <w:r>
        <w:rPr>
          <w:noProof/>
          <w:lang w:val="en-US"/>
        </w:rPr>
        <mc:AlternateContent>
          <mc:Choice Requires="wps">
            <w:drawing>
              <wp:inline distT="0" distB="0" distL="0" distR="0" wp14:anchorId="5DE4DECA" wp14:editId="3909C0AB">
                <wp:extent cx="5943600" cy="1305560"/>
                <wp:effectExtent l="0" t="0" r="19050" b="279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05560"/>
                        </a:xfrm>
                        <a:prstGeom prst="rect">
                          <a:avLst/>
                        </a:prstGeom>
                        <a:solidFill>
                          <a:srgbClr val="FFFFFF"/>
                        </a:solidFill>
                        <a:ln w="9525">
                          <a:solidFill>
                            <a:srgbClr val="000000"/>
                          </a:solidFill>
                          <a:miter lim="800000"/>
                          <a:headEnd/>
                          <a:tailEnd/>
                        </a:ln>
                      </wps:spPr>
                      <wps:txbx>
                        <w:txbxContent>
                          <w:p w14:paraId="7920FE5F" w14:textId="0ECEB9B4"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01CB8424" w14:textId="77777777" w:rsidR="005D608F" w:rsidRPr="00FB3F9D" w:rsidRDefault="005D608F" w:rsidP="005D608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79915D8"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Alt.1: an SRS resource set ID, where FFS on further association to other RS (if needed)</w:t>
                            </w:r>
                          </w:p>
                          <w:p w14:paraId="46E7E539"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 xml:space="preserve">Alt.2: an ID, which is directly associated to a reference RS resource and/or resource set </w:t>
                            </w:r>
                          </w:p>
                          <w:p w14:paraId="49519FE3"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Alt.3: an ID, which can be assigned for a target RS resource or resource set</w:t>
                            </w:r>
                          </w:p>
                          <w:p w14:paraId="5B6F9BAF"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Alt.4: an ID which is additionally configured in spatial relation info</w:t>
                            </w:r>
                          </w:p>
                          <w:p w14:paraId="07ECD214" w14:textId="77777777" w:rsidR="005D608F" w:rsidRPr="00FB0CE8" w:rsidRDefault="005D608F" w:rsidP="005D608F">
                            <w:pPr>
                              <w:rPr>
                                <w:b/>
                                <w:lang w:eastAsia="x-none"/>
                              </w:rPr>
                            </w:pPr>
                          </w:p>
                        </w:txbxContent>
                      </wps:txbx>
                      <wps:bodyPr rot="0" vert="horz" wrap="square" lIns="91440" tIns="45720" rIns="91440" bIns="45720" anchor="t" anchorCtr="0">
                        <a:noAutofit/>
                      </wps:bodyPr>
                    </wps:wsp>
                  </a:graphicData>
                </a:graphic>
              </wp:inline>
            </w:drawing>
          </mc:Choice>
          <mc:Fallback>
            <w:pict>
              <v:shape w14:anchorId="5DE4DECA" id="Text Box 4" o:spid="_x0000_s1027" type="#_x0000_t202" style="width:468pt;height:10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">
                <v:textbox>
                  <w:txbxContent>
                    <w:p w14:paraId="7920FE5F" w14:textId="0ECEB9B4"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01CB8424" w14:textId="77777777" w:rsidR="005D608F" w:rsidRPr="00FB3F9D" w:rsidRDefault="005D608F" w:rsidP="005D608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79915D8"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Alt.1: an SRS resource set ID, where FFS on further association to other RS (if needed)</w:t>
                      </w:r>
                    </w:p>
                    <w:p w14:paraId="46E7E539"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 xml:space="preserve">Alt.2: an ID, which is directly associated to a reference RS resource and/or resource set </w:t>
                      </w:r>
                    </w:p>
                    <w:p w14:paraId="49519FE3"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Alt.3: an ID, which can be assigned for a target RS resource or resource set</w:t>
                      </w:r>
                    </w:p>
                    <w:p w14:paraId="5B6F9BAF"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Alt.4: an ID which is additionally configured in spatial relation info</w:t>
                      </w:r>
                    </w:p>
                    <w:p w14:paraId="07ECD214" w14:textId="77777777" w:rsidR="005D608F" w:rsidRPr="00FB0CE8" w:rsidRDefault="005D608F" w:rsidP="005D608F">
                      <w:pPr>
                        <w:rPr>
                          <w:b/>
                          <w:lang w:eastAsia="x-none"/>
                        </w:rPr>
                      </w:pPr>
                    </w:p>
                  </w:txbxContent>
                </v:textbox>
                <w10:anchorlock/>
              </v:shape>
            </w:pict>
          </mc:Fallback>
        </mc:AlternateContent>
      </w:r>
    </w:p>
    <w:p w14:paraId="5DE22DEB" w14:textId="6E87CEB9" w:rsidR="00FB0CE8" w:rsidRDefault="00D25F7D" w:rsidP="00CD6068">
      <w:pPr>
        <w:tabs>
          <w:tab w:val="left" w:pos="1440"/>
        </w:tabs>
        <w:jc w:val="both"/>
        <w:rPr>
          <w:rFonts w:eastAsia="MS Mincho"/>
          <w:lang w:val="en-US" w:eastAsia="ja-JP"/>
        </w:rPr>
      </w:pPr>
      <w:r>
        <w:rPr>
          <w:rFonts w:eastAsia="MS Mincho"/>
          <w:lang w:val="en-US" w:eastAsia="ja-JP"/>
        </w:rPr>
        <w:t>Uplink power control</w:t>
      </w:r>
      <w:r w:rsidR="000E241C">
        <w:rPr>
          <w:rFonts w:eastAsia="MS Mincho"/>
          <w:lang w:val="en-US" w:eastAsia="ja-JP"/>
        </w:rPr>
        <w:t xml:space="preserve"> (PC)</w:t>
      </w:r>
      <w:r>
        <w:rPr>
          <w:rFonts w:eastAsia="MS Mincho"/>
          <w:lang w:val="en-US" w:eastAsia="ja-JP"/>
        </w:rPr>
        <w:t xml:space="preserve"> considerations need to be taken into account for </w:t>
      </w:r>
      <w:proofErr w:type="spellStart"/>
      <w:r>
        <w:rPr>
          <w:rFonts w:eastAsia="MS Mincho"/>
          <w:lang w:val="en-US" w:eastAsia="ja-JP"/>
        </w:rPr>
        <w:t>eMIMO</w:t>
      </w:r>
      <w:proofErr w:type="spellEnd"/>
      <w:r>
        <w:rPr>
          <w:rFonts w:eastAsia="MS Mincho"/>
          <w:lang w:val="en-US" w:eastAsia="ja-JP"/>
        </w:rPr>
        <w:t xml:space="preserve"> operation, as captured in previous chairman notes. </w:t>
      </w:r>
    </w:p>
    <w:p w14:paraId="215C10C2" w14:textId="77777777" w:rsidR="00D25F7D" w:rsidRDefault="00D25F7D" w:rsidP="00D25F7D">
      <w:pPr>
        <w:tabs>
          <w:tab w:val="left" w:pos="1440"/>
        </w:tabs>
        <w:jc w:val="both"/>
        <w:rPr>
          <w:i/>
        </w:rPr>
      </w:pPr>
      <w:r>
        <w:rPr>
          <w:noProof/>
          <w:lang w:val="en-US"/>
        </w:rPr>
        <mc:AlternateContent>
          <mc:Choice Requires="wps">
            <w:drawing>
              <wp:inline distT="0" distB="0" distL="0" distR="0" wp14:anchorId="63FBB233" wp14:editId="16B06DFA">
                <wp:extent cx="5943600" cy="1417320"/>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17320"/>
                        </a:xfrm>
                        <a:prstGeom prst="rect">
                          <a:avLst/>
                        </a:prstGeom>
                        <a:solidFill>
                          <a:srgbClr val="FFFFFF"/>
                        </a:solidFill>
                        <a:ln w="9525">
                          <a:solidFill>
                            <a:srgbClr val="000000"/>
                          </a:solidFill>
                          <a:miter lim="800000"/>
                          <a:headEnd/>
                          <a:tailEnd/>
                        </a:ln>
                      </wps:spPr>
                      <wps:txb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73EDF0F9" w14:textId="77777777" w:rsidR="00D25F7D" w:rsidRPr="00D25F7D" w:rsidRDefault="00D25F7D" w:rsidP="00D25F7D">
                            <w:pPr>
                              <w:jc w:val="both"/>
                              <w:rPr>
                                <w:b/>
                              </w:rPr>
                            </w:pPr>
                          </w:p>
                        </w:txbxContent>
                      </wps:txbx>
                      <wps:bodyPr rot="0" vert="horz" wrap="square" lIns="91440" tIns="45720" rIns="91440" bIns="45720" anchor="t" anchorCtr="0">
                        <a:noAutofit/>
                      </wps:bodyPr>
                    </wps:wsp>
                  </a:graphicData>
                </a:graphic>
              </wp:inline>
            </w:drawing>
          </mc:Choice>
          <mc:Fallback>
            <w:pict>
              <v:shape w14:anchorId="63FBB233" id="Text Box 3" o:spid="_x0000_s1028" type="#_x0000_t202" style="width:468pt;height:1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">
                <v:textbo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73EDF0F9" w14:textId="77777777" w:rsidR="00D25F7D" w:rsidRPr="00D25F7D" w:rsidRDefault="00D25F7D" w:rsidP="00D25F7D">
                      <w:pPr>
                        <w:jc w:val="both"/>
                        <w:rPr>
                          <w:b/>
                        </w:rPr>
                      </w:pPr>
                    </w:p>
                  </w:txbxContent>
                </v:textbox>
                <w10:anchorlock/>
              </v:shape>
            </w:pict>
          </mc:Fallback>
        </mc:AlternateContent>
      </w:r>
    </w:p>
    <w:p w14:paraId="1C2D7000" w14:textId="213A8C11" w:rsidR="00BA526A" w:rsidRDefault="005F34D8" w:rsidP="00B734E4">
      <w:pPr>
        <w:tabs>
          <w:tab w:val="left" w:pos="1440"/>
        </w:tabs>
        <w:jc w:val="both"/>
        <w:rPr>
          <w:rFonts w:eastAsia="MS Mincho"/>
          <w:lang w:val="en-US" w:eastAsia="ja-JP"/>
        </w:rPr>
      </w:pPr>
      <w:r>
        <w:rPr>
          <w:rFonts w:eastAsia="MS Mincho"/>
          <w:lang w:val="en-US" w:eastAsia="ja-JP"/>
        </w:rPr>
        <w:t>In the pre</w:t>
      </w:r>
      <w:r w:rsidR="000F7EDF">
        <w:rPr>
          <w:rFonts w:eastAsia="MS Mincho"/>
          <w:lang w:val="en-US" w:eastAsia="ja-JP"/>
        </w:rPr>
        <w:t>v</w:t>
      </w:r>
      <w:r>
        <w:rPr>
          <w:rFonts w:eastAsia="MS Mincho"/>
          <w:lang w:val="en-US" w:eastAsia="ja-JP"/>
        </w:rPr>
        <w:t xml:space="preserve">ious </w:t>
      </w:r>
      <w:r w:rsidR="00A148E5">
        <w:rPr>
          <w:rFonts w:eastAsia="MS Mincho"/>
          <w:lang w:val="en-US" w:eastAsia="ja-JP"/>
        </w:rPr>
        <w:t xml:space="preserve">RAN1#96 </w:t>
      </w:r>
      <w:r>
        <w:rPr>
          <w:rFonts w:eastAsia="MS Mincho"/>
          <w:lang w:val="en-US" w:eastAsia="ja-JP"/>
        </w:rPr>
        <w:t xml:space="preserve">meeting, further discussion was conducted on multi-panel UE categories </w:t>
      </w:r>
      <w:r w:rsidR="0017034E">
        <w:rPr>
          <w:rFonts w:eastAsia="MS Mincho"/>
          <w:lang w:val="en-US" w:eastAsia="ja-JP"/>
        </w:rPr>
        <w:t xml:space="preserve">and in </w:t>
      </w:r>
      <w:proofErr w:type="gramStart"/>
      <w:r w:rsidR="0017034E">
        <w:rPr>
          <w:rFonts w:eastAsia="MS Mincho"/>
          <w:lang w:val="en-US" w:eastAsia="ja-JP"/>
        </w:rPr>
        <w:t>RAN1#</w:t>
      </w:r>
      <w:proofErr w:type="gramEnd"/>
      <w:r w:rsidR="0017034E">
        <w:rPr>
          <w:rFonts w:eastAsia="MS Mincho"/>
          <w:lang w:val="en-US" w:eastAsia="ja-JP"/>
        </w:rPr>
        <w:t>96bis single panel-selection uplink transmission was agreed for Rel-16</w:t>
      </w:r>
      <w:r w:rsidR="003036DA">
        <w:rPr>
          <w:rFonts w:eastAsia="MS Mincho"/>
          <w:lang w:val="en-US" w:eastAsia="ja-JP"/>
        </w:rPr>
        <w:t xml:space="preserve">. </w:t>
      </w:r>
    </w:p>
    <w:p w14:paraId="36F0AB4F" w14:textId="7465BD5C" w:rsidR="005F34D8" w:rsidRDefault="005F34D8" w:rsidP="005F34D8">
      <w:pPr>
        <w:tabs>
          <w:tab w:val="left" w:pos="1440"/>
        </w:tabs>
        <w:jc w:val="both"/>
        <w:rPr>
          <w:rFonts w:eastAsia="MS Mincho"/>
          <w:lang w:val="en-US" w:eastAsia="ja-JP"/>
        </w:rPr>
      </w:pPr>
      <w:r>
        <w:rPr>
          <w:noProof/>
          <w:lang w:val="en-US"/>
        </w:rPr>
        <w:lastRenderedPageBreak/>
        <mc:AlternateContent>
          <mc:Choice Requires="wps">
            <w:drawing>
              <wp:inline distT="0" distB="0" distL="0" distR="0" wp14:anchorId="7E1E6249" wp14:editId="3D8855D7">
                <wp:extent cx="5943600" cy="2300025"/>
                <wp:effectExtent l="0" t="0" r="19050" b="241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300025"/>
                        </a:xfrm>
                        <a:prstGeom prst="rect">
                          <a:avLst/>
                        </a:prstGeom>
                        <a:solidFill>
                          <a:srgbClr val="FFFFFF"/>
                        </a:solidFill>
                        <a:ln w="9525">
                          <a:solidFill>
                            <a:srgbClr val="000000"/>
                          </a:solidFill>
                          <a:miter lim="800000"/>
                          <a:headEnd/>
                          <a:tailEnd/>
                        </a:ln>
                      </wps:spPr>
                      <wps:txbx>
                        <w:txbxContent>
                          <w:p w14:paraId="46FAA796" w14:textId="54316B93" w:rsidR="005F34D8" w:rsidRDefault="005F34D8" w:rsidP="005F34D8">
                            <w:pPr>
                              <w:jc w:val="both"/>
                              <w:rPr>
                                <w:b/>
                              </w:rPr>
                            </w:pPr>
                            <w:r w:rsidRPr="00D25F7D">
                              <w:rPr>
                                <w:b/>
                              </w:rPr>
                              <w:t xml:space="preserve">Excerpt from </w:t>
                            </w:r>
                            <w:r>
                              <w:rPr>
                                <w:b/>
                              </w:rPr>
                              <w:t>RAN1#96</w:t>
                            </w:r>
                            <w:r w:rsidR="0017034E">
                              <w:rPr>
                                <w:b/>
                              </w:rPr>
                              <w:t>bis</w:t>
                            </w:r>
                            <w:r>
                              <w:rPr>
                                <w:b/>
                              </w:rPr>
                              <w:t xml:space="preserve"> Chairman Notes [</w:t>
                            </w:r>
                            <w:r w:rsidR="00B734E4">
                              <w:rPr>
                                <w:b/>
                              </w:rPr>
                              <w:t>4</w:t>
                            </w:r>
                            <w:r>
                              <w:rPr>
                                <w:b/>
                              </w:rPr>
                              <w:t>]</w:t>
                            </w:r>
                          </w:p>
                          <w:p w14:paraId="5ED21CB4" w14:textId="77777777" w:rsidR="0017034E" w:rsidRPr="00C53D55" w:rsidRDefault="0017034E" w:rsidP="0017034E">
                            <w:pPr>
                              <w:contextualSpacing/>
                              <w:rPr>
                                <w:b/>
                                <w:highlight w:val="green"/>
                                <w:lang w:eastAsia="x-none"/>
                              </w:rPr>
                            </w:pPr>
                            <w:r w:rsidRPr="00C53D55">
                              <w:rPr>
                                <w:b/>
                                <w:highlight w:val="green"/>
                                <w:lang w:eastAsia="x-none"/>
                              </w:rPr>
                              <w:t>Agreement</w:t>
                            </w:r>
                          </w:p>
                          <w:p w14:paraId="3DA41ACE" w14:textId="77777777" w:rsidR="0017034E" w:rsidRPr="00C53D55" w:rsidRDefault="0017034E" w:rsidP="0017034E">
                            <w:pPr>
                              <w:adjustRightInd w:val="0"/>
                              <w:snapToGrid w:val="0"/>
                              <w:contextualSpacing/>
                              <w:rPr>
                                <w:szCs w:val="22"/>
                              </w:rPr>
                            </w:pPr>
                            <w:r w:rsidRPr="00C53D55">
                              <w:rPr>
                                <w:szCs w:val="22"/>
                              </w:rPr>
                              <w:t>In Rel-16, only introduce specification enhancement for MPUE-Assumption3</w:t>
                            </w:r>
                          </w:p>
                          <w:p w14:paraId="5BA51C83"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 xml:space="preserve">MPUE-Assumption3: Multiple panels </w:t>
                            </w:r>
                            <w:proofErr w:type="gramStart"/>
                            <w:r w:rsidRPr="00C53D55">
                              <w:rPr>
                                <w:szCs w:val="22"/>
                              </w:rPr>
                              <w:t>are implemented</w:t>
                            </w:r>
                            <w:proofErr w:type="gramEnd"/>
                            <w:r w:rsidRPr="00C53D55">
                              <w:rPr>
                                <w:szCs w:val="22"/>
                              </w:rPr>
                              <w:t xml:space="preserve"> on a UE and multiple panels can be activated at a time but only one panel can be used for transmission.</w:t>
                            </w:r>
                          </w:p>
                          <w:p w14:paraId="6843B8F6"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Note that this does not require a UE to always activate multi-panels simultaneously</w:t>
                            </w:r>
                          </w:p>
                          <w:p w14:paraId="091B9A60"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Note: UE can control the panel activation/deactivation </w:t>
                            </w:r>
                          </w:p>
                          <w:p w14:paraId="02FE02A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65B8C032"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7BB21DD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Discussion topics in Rel-16 include:</w:t>
                            </w:r>
                          </w:p>
                          <w:p w14:paraId="7B2FFCF3"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Details on the identification for a panel and corresponding panel definition</w:t>
                            </w:r>
                          </w:p>
                          <w:p w14:paraId="7B07DE80"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77EFC7D0" w14:textId="77777777" w:rsidR="0017034E" w:rsidRPr="00BB351D" w:rsidRDefault="0017034E" w:rsidP="0017034E">
                            <w:pPr>
                              <w:adjustRightInd w:val="0"/>
                              <w:snapToGrid w:val="0"/>
                              <w:contextualSpacing/>
                              <w:rPr>
                                <w:szCs w:val="22"/>
                              </w:rPr>
                            </w:pPr>
                            <w:r w:rsidRPr="00C53D55">
                              <w:rPr>
                                <w:szCs w:val="22"/>
                              </w:rPr>
                              <w:t>This is a UE optional feature</w:t>
                            </w:r>
                          </w:p>
                          <w:p w14:paraId="5DF6DF10" w14:textId="77777777" w:rsidR="00B734E4" w:rsidRDefault="00B734E4" w:rsidP="00B734E4"/>
                          <w:p w14:paraId="12C20D15" w14:textId="77777777" w:rsidR="00B734E4" w:rsidRDefault="00B734E4" w:rsidP="005F34D8">
                            <w:pPr>
                              <w:jc w:val="both"/>
                              <w:rPr>
                                <w:b/>
                              </w:rPr>
                            </w:pPr>
                          </w:p>
                        </w:txbxContent>
                      </wps:txbx>
                      <wps:bodyPr rot="0" vert="horz" wrap="square" lIns="91440" tIns="45720" rIns="91440" bIns="45720" anchor="t" anchorCtr="0">
                        <a:noAutofit/>
                      </wps:bodyPr>
                    </wps:wsp>
                  </a:graphicData>
                </a:graphic>
              </wp:inline>
            </w:drawing>
          </mc:Choice>
          <mc:Fallback>
            <w:pict>
              <v:shapetype w14:anchorId="7E1E6249" id="_x0000_t202" coordsize="21600,21600" o:spt="202" path="m,l,21600r21600,l21600,xe">
                <v:stroke joinstyle="miter"/>
                <v:path gradientshapeok="t" o:connecttype="rect"/>
              </v:shapetype>
              <v:shape id="Text Box 2" o:spid="_x0000_s1029" type="#_x0000_t202" style="width:468pt;height:18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">
                <v:textbox>
                  <w:txbxContent>
                    <w:p w14:paraId="46FAA796" w14:textId="54316B93" w:rsidR="005F34D8" w:rsidRDefault="005F34D8" w:rsidP="005F34D8">
                      <w:pPr>
                        <w:jc w:val="both"/>
                        <w:rPr>
                          <w:b/>
                        </w:rPr>
                      </w:pPr>
                      <w:r w:rsidRPr="00D25F7D">
                        <w:rPr>
                          <w:b/>
                        </w:rPr>
                        <w:t xml:space="preserve">Excerpt from </w:t>
                      </w:r>
                      <w:r>
                        <w:rPr>
                          <w:b/>
                        </w:rPr>
                        <w:t>RAN1#96</w:t>
                      </w:r>
                      <w:r w:rsidR="0017034E">
                        <w:rPr>
                          <w:b/>
                        </w:rPr>
                        <w:t>bis</w:t>
                      </w:r>
                      <w:r>
                        <w:rPr>
                          <w:b/>
                        </w:rPr>
                        <w:t xml:space="preserve"> Chairman Notes [</w:t>
                      </w:r>
                      <w:r w:rsidR="00B734E4">
                        <w:rPr>
                          <w:b/>
                        </w:rPr>
                        <w:t>4</w:t>
                      </w:r>
                      <w:r>
                        <w:rPr>
                          <w:b/>
                        </w:rPr>
                        <w:t>]</w:t>
                      </w:r>
                    </w:p>
                    <w:p w14:paraId="5ED21CB4" w14:textId="77777777" w:rsidR="0017034E" w:rsidRPr="00C53D55" w:rsidRDefault="0017034E" w:rsidP="0017034E">
                      <w:pPr>
                        <w:contextualSpacing/>
                        <w:rPr>
                          <w:b/>
                          <w:highlight w:val="green"/>
                          <w:lang w:eastAsia="x-none"/>
                        </w:rPr>
                      </w:pPr>
                      <w:r w:rsidRPr="00C53D55">
                        <w:rPr>
                          <w:b/>
                          <w:highlight w:val="green"/>
                          <w:lang w:eastAsia="x-none"/>
                        </w:rPr>
                        <w:t>Agreement</w:t>
                      </w:r>
                    </w:p>
                    <w:p w14:paraId="3DA41ACE" w14:textId="77777777" w:rsidR="0017034E" w:rsidRPr="00C53D55" w:rsidRDefault="0017034E" w:rsidP="0017034E">
                      <w:pPr>
                        <w:adjustRightInd w:val="0"/>
                        <w:snapToGrid w:val="0"/>
                        <w:contextualSpacing/>
                        <w:rPr>
                          <w:szCs w:val="22"/>
                        </w:rPr>
                      </w:pPr>
                      <w:r w:rsidRPr="00C53D55">
                        <w:rPr>
                          <w:szCs w:val="22"/>
                        </w:rPr>
                        <w:t>In Rel-16, only introduce specification enhancement for MPUE-Assumption3</w:t>
                      </w:r>
                    </w:p>
                    <w:p w14:paraId="5BA51C83"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 xml:space="preserve">MPUE-Assumption3: Multiple panels </w:t>
                      </w:r>
                      <w:proofErr w:type="gramStart"/>
                      <w:r w:rsidRPr="00C53D55">
                        <w:rPr>
                          <w:szCs w:val="22"/>
                        </w:rPr>
                        <w:t>are implemented</w:t>
                      </w:r>
                      <w:proofErr w:type="gramEnd"/>
                      <w:r w:rsidRPr="00C53D55">
                        <w:rPr>
                          <w:szCs w:val="22"/>
                        </w:rPr>
                        <w:t xml:space="preserve"> on a UE and multiple panels can be activated at a time but only one panel can be used for transmission.</w:t>
                      </w:r>
                    </w:p>
                    <w:p w14:paraId="6843B8F6"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Note that this does not require a UE to always activate multi-panels simultaneously</w:t>
                      </w:r>
                    </w:p>
                    <w:p w14:paraId="091B9A60"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Note: UE can control the panel activation/deactivation </w:t>
                      </w:r>
                    </w:p>
                    <w:p w14:paraId="02FE02A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65B8C032"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7BB21DD9"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Discussion topics in Rel-16 include:</w:t>
                      </w:r>
                    </w:p>
                    <w:p w14:paraId="7B2FFCF3" w14:textId="77777777" w:rsidR="0017034E" w:rsidRPr="00C53D55" w:rsidRDefault="0017034E" w:rsidP="0017034E">
                      <w:pPr>
                        <w:numPr>
                          <w:ilvl w:val="1"/>
                          <w:numId w:val="32"/>
                        </w:numPr>
                        <w:adjustRightInd w:val="0"/>
                        <w:snapToGrid w:val="0"/>
                        <w:spacing w:after="0"/>
                        <w:contextualSpacing/>
                        <w:rPr>
                          <w:szCs w:val="22"/>
                        </w:rPr>
                      </w:pPr>
                      <w:r w:rsidRPr="00C53D55">
                        <w:rPr>
                          <w:szCs w:val="22"/>
                        </w:rPr>
                        <w:t>Details on the identification for a panel and corresponding panel definition</w:t>
                      </w:r>
                    </w:p>
                    <w:p w14:paraId="7B07DE80" w14:textId="77777777" w:rsidR="0017034E" w:rsidRPr="00C53D55" w:rsidRDefault="0017034E" w:rsidP="0017034E">
                      <w:pPr>
                        <w:numPr>
                          <w:ilvl w:val="0"/>
                          <w:numId w:val="32"/>
                        </w:numPr>
                        <w:adjustRightInd w:val="0"/>
                        <w:snapToGrid w:val="0"/>
                        <w:spacing w:after="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77EFC7D0" w14:textId="77777777" w:rsidR="0017034E" w:rsidRPr="00BB351D" w:rsidRDefault="0017034E" w:rsidP="0017034E">
                      <w:pPr>
                        <w:adjustRightInd w:val="0"/>
                        <w:snapToGrid w:val="0"/>
                        <w:contextualSpacing/>
                        <w:rPr>
                          <w:szCs w:val="22"/>
                        </w:rPr>
                      </w:pPr>
                      <w:r w:rsidRPr="00C53D55">
                        <w:rPr>
                          <w:szCs w:val="22"/>
                        </w:rPr>
                        <w:t>This is a UE optional feature</w:t>
                      </w:r>
                    </w:p>
                    <w:p w14:paraId="5DF6DF10" w14:textId="77777777" w:rsidR="00B734E4" w:rsidRDefault="00B734E4" w:rsidP="00B734E4"/>
                    <w:p w14:paraId="12C20D15" w14:textId="77777777" w:rsidR="00B734E4" w:rsidRDefault="00B734E4" w:rsidP="005F34D8">
                      <w:pPr>
                        <w:jc w:val="both"/>
                        <w:rPr>
                          <w:b/>
                        </w:rPr>
                      </w:pPr>
                    </w:p>
                  </w:txbxContent>
                </v:textbox>
                <w10:anchorlock/>
              </v:shape>
            </w:pict>
          </mc:Fallback>
        </mc:AlternateContent>
      </w:r>
    </w:p>
    <w:p w14:paraId="5A92AF9B" w14:textId="58020176" w:rsidR="00DB491C" w:rsidRDefault="0007249E" w:rsidP="00FE21C7">
      <w:pPr>
        <w:tabs>
          <w:tab w:val="left" w:pos="1440"/>
        </w:tabs>
        <w:jc w:val="both"/>
        <w:rPr>
          <w:rFonts w:eastAsia="MS Mincho"/>
          <w:lang w:val="en-US" w:eastAsia="ja-JP"/>
        </w:rPr>
      </w:pPr>
      <w:r>
        <w:rPr>
          <w:rFonts w:eastAsia="MS Mincho"/>
          <w:lang w:val="en-US" w:eastAsia="ja-JP"/>
        </w:rPr>
        <w:t xml:space="preserve">Although specification details of panel ID could </w:t>
      </w:r>
      <w:r w:rsidR="00BA526A">
        <w:rPr>
          <w:rFonts w:eastAsia="MS Mincho"/>
          <w:lang w:val="en-US" w:eastAsia="ja-JP"/>
        </w:rPr>
        <w:t xml:space="preserve">possibly </w:t>
      </w:r>
      <w:proofErr w:type="gramStart"/>
      <w:r w:rsidR="00BA526A">
        <w:rPr>
          <w:rFonts w:eastAsia="MS Mincho"/>
          <w:lang w:val="en-US" w:eastAsia="ja-JP"/>
        </w:rPr>
        <w:t>impact</w:t>
      </w:r>
      <w:proofErr w:type="gramEnd"/>
      <w:r w:rsidR="00BA526A">
        <w:rPr>
          <w:rFonts w:eastAsia="MS Mincho"/>
          <w:lang w:val="en-US" w:eastAsia="ja-JP"/>
        </w:rPr>
        <w:t xml:space="preserve"> some details of panel-specific power control, the main principles are independent of the panel ID design and specification</w:t>
      </w:r>
      <w:r w:rsidR="00F8344E">
        <w:rPr>
          <w:rFonts w:eastAsia="MS Mincho"/>
          <w:lang w:val="en-US" w:eastAsia="ja-JP"/>
        </w:rPr>
        <w:t>,</w:t>
      </w:r>
      <w:r w:rsidR="00BA526A">
        <w:rPr>
          <w:rFonts w:eastAsia="MS Mincho"/>
          <w:lang w:val="en-US" w:eastAsia="ja-JP"/>
        </w:rPr>
        <w:t xml:space="preserve"> </w:t>
      </w:r>
      <w:r w:rsidR="00F8344E">
        <w:rPr>
          <w:rFonts w:eastAsia="MS Mincho"/>
          <w:lang w:val="en-US" w:eastAsia="ja-JP"/>
        </w:rPr>
        <w:t>and</w:t>
      </w:r>
      <w:r>
        <w:rPr>
          <w:rFonts w:eastAsia="MS Mincho"/>
          <w:lang w:val="en-US" w:eastAsia="ja-JP"/>
        </w:rPr>
        <w:t xml:space="preserve"> some observations can be made </w:t>
      </w:r>
      <w:r w:rsidR="00FE21C7">
        <w:rPr>
          <w:rFonts w:eastAsia="MS Mincho"/>
          <w:lang w:val="en-US" w:eastAsia="ja-JP"/>
        </w:rPr>
        <w:t xml:space="preserve">regarding panel-specific power control. </w:t>
      </w:r>
    </w:p>
    <w:p w14:paraId="09E82C2F" w14:textId="51FC9FDD" w:rsidR="0039791F" w:rsidRDefault="009A0B47" w:rsidP="00CD6068">
      <w:pPr>
        <w:tabs>
          <w:tab w:val="left" w:pos="1440"/>
        </w:tabs>
        <w:jc w:val="both"/>
        <w:rPr>
          <w:rFonts w:eastAsia="MS Mincho"/>
          <w:lang w:val="en-US" w:eastAsia="ja-JP"/>
        </w:rPr>
      </w:pPr>
      <w:r>
        <w:rPr>
          <w:rFonts w:eastAsia="MS Mincho"/>
          <w:lang w:val="en-US" w:eastAsia="ja-JP"/>
        </w:rPr>
        <w:t xml:space="preserve">In this contribution, we provide our views on </w:t>
      </w:r>
      <w:r w:rsidR="002E04EC">
        <w:rPr>
          <w:rFonts w:eastAsia="MS Mincho"/>
          <w:lang w:val="en-US" w:eastAsia="ja-JP"/>
        </w:rPr>
        <w:t xml:space="preserve">the power control framework for multi-panel uplink transmission and </w:t>
      </w:r>
      <w:proofErr w:type="spellStart"/>
      <w:r w:rsidR="00F75893">
        <w:rPr>
          <w:rFonts w:eastAsia="MS Mincho"/>
          <w:lang w:val="en-US" w:eastAsia="ja-JP"/>
        </w:rPr>
        <w:t>and</w:t>
      </w:r>
      <w:bookmarkStart w:id="3" w:name="_GoBack"/>
      <w:bookmarkEnd w:id="3"/>
      <w:proofErr w:type="spellEnd"/>
      <w:r w:rsidR="002E04EC">
        <w:rPr>
          <w:rFonts w:eastAsia="MS Mincho"/>
          <w:lang w:val="en-US" w:eastAsia="ja-JP"/>
        </w:rPr>
        <w:t xml:space="preserve"> change</w:t>
      </w:r>
      <w:r w:rsidR="00F75893">
        <w:rPr>
          <w:rFonts w:eastAsia="MS Mincho"/>
          <w:lang w:val="en-US" w:eastAsia="ja-JP"/>
        </w:rPr>
        <w:t>s needed to</w:t>
      </w:r>
      <w:r w:rsidR="002E04EC">
        <w:rPr>
          <w:rFonts w:eastAsia="MS Mincho"/>
          <w:lang w:val="en-US" w:eastAsia="ja-JP"/>
        </w:rPr>
        <w:t xml:space="preserve"> the power control specification in TS 38.213 </w:t>
      </w:r>
      <w:r w:rsidR="00FE21C7">
        <w:rPr>
          <w:rFonts w:eastAsia="MS Mincho"/>
          <w:lang w:val="en-US" w:eastAsia="ja-JP"/>
        </w:rPr>
        <w:t>[</w:t>
      </w:r>
      <w:r w:rsidR="000D7EA1">
        <w:rPr>
          <w:rFonts w:eastAsia="MS Mincho"/>
          <w:lang w:val="en-US" w:eastAsia="ja-JP"/>
        </w:rPr>
        <w:t>5</w:t>
      </w:r>
      <w:r w:rsidR="00AD1568">
        <w:rPr>
          <w:rFonts w:eastAsia="MS Mincho"/>
          <w:lang w:val="en-US" w:eastAsia="ja-JP"/>
        </w:rPr>
        <w:t xml:space="preserve">] </w:t>
      </w:r>
      <w:r w:rsidR="002E04EC">
        <w:rPr>
          <w:rFonts w:eastAsia="MS Mincho"/>
          <w:lang w:val="en-US" w:eastAsia="ja-JP"/>
        </w:rPr>
        <w:t>for Rel-15</w:t>
      </w:r>
      <w:r w:rsidR="0039791F">
        <w:rPr>
          <w:rFonts w:eastAsia="MS Mincho"/>
          <w:lang w:val="en-US" w:eastAsia="ja-JP"/>
        </w:rPr>
        <w:t xml:space="preserve">. </w:t>
      </w:r>
    </w:p>
    <w:p w14:paraId="444D1DDC" w14:textId="0879EF95" w:rsidR="006C5135" w:rsidRDefault="00D4633D" w:rsidP="000E773D">
      <w:pPr>
        <w:pStyle w:val="Heading1"/>
        <w:ind w:left="0" w:firstLine="0"/>
        <w:rPr>
          <w:bCs/>
        </w:rPr>
      </w:pPr>
      <w:r>
        <w:rPr>
          <w:bCs/>
        </w:rPr>
        <w:t>Power Control</w:t>
      </w:r>
      <w:r w:rsidR="001F7A47">
        <w:rPr>
          <w:bCs/>
        </w:rPr>
        <w:t xml:space="preserve"> Aspects for Multi-Panel Transmission</w:t>
      </w:r>
    </w:p>
    <w:p w14:paraId="33BFE5CB" w14:textId="48FBAE75" w:rsidR="008A1B8C" w:rsidRDefault="001F7A47" w:rsidP="0039791F">
      <w:pPr>
        <w:pStyle w:val="Heading2"/>
      </w:pPr>
      <w:r>
        <w:t xml:space="preserve">Configuration </w:t>
      </w:r>
      <w:r w:rsidR="00497B61">
        <w:t xml:space="preserve">and Indication </w:t>
      </w:r>
      <w:r>
        <w:t>of PC Parameters</w:t>
      </w:r>
    </w:p>
    <w:p w14:paraId="198AE6E4" w14:textId="7F93DDDF" w:rsidR="00082161" w:rsidRDefault="005535BC" w:rsidP="005535BC">
      <w:pPr>
        <w:jc w:val="both"/>
      </w:pPr>
      <w:r>
        <w:t>Beam-specific power control has been a</w:t>
      </w:r>
      <w:r w:rsidR="00C756AD">
        <w:t xml:space="preserve"> main principle adopted in Rel-15 for power control parameter configuration </w:t>
      </w:r>
      <w:r>
        <w:t>so that</w:t>
      </w:r>
      <w:r w:rsidR="00AD1568">
        <w:t xml:space="preserve"> a semi-static</w:t>
      </w:r>
      <w:r w:rsidR="00C756AD">
        <w:t xml:space="preserve"> mapping </w:t>
      </w:r>
      <w:r>
        <w:t xml:space="preserve">is configured </w:t>
      </w:r>
      <w:r w:rsidR="00C756AD">
        <w:t xml:space="preserve">between PUSCH/PUCCH beam indication </w:t>
      </w:r>
      <w:r w:rsidR="000E241C">
        <w:t xml:space="preserve">(e.g., SRI or PUCCH </w:t>
      </w:r>
      <w:proofErr w:type="spellStart"/>
      <w:r w:rsidR="000E241C" w:rsidRPr="000E241C">
        <w:rPr>
          <w:i/>
          <w:iCs/>
        </w:rPr>
        <w:t>SpatialRelaionInfo</w:t>
      </w:r>
      <w:proofErr w:type="spellEnd"/>
      <w:r w:rsidR="000E241C">
        <w:t xml:space="preserve">) </w:t>
      </w:r>
      <w:r w:rsidR="00C756AD">
        <w:t xml:space="preserve">and the open-loop (OL), </w:t>
      </w:r>
      <w:proofErr w:type="spellStart"/>
      <w:r w:rsidR="00C756AD">
        <w:t>pathloss</w:t>
      </w:r>
      <w:proofErr w:type="spellEnd"/>
      <w:r w:rsidR="00C756AD">
        <w:t xml:space="preserve"> (PL) reference, and closed-loop (CL) power control parameters. </w:t>
      </w:r>
      <w:r w:rsidR="000E241C">
        <w:t>Regardless of the specific mechanism that will be agreed and adopted to capture the ID</w:t>
      </w:r>
      <w:r>
        <w:t xml:space="preserve"> for panel-specific UL transmission</w:t>
      </w:r>
      <w:r w:rsidR="000E241C">
        <w:t>, the same kind of mapping between UL beam indication and PC parameters can be re-used</w:t>
      </w:r>
      <w:r w:rsidR="00AD1568">
        <w:t xml:space="preserve"> in multi-panel transmission mode as well</w:t>
      </w:r>
      <w:r w:rsidR="00082161">
        <w:t xml:space="preserve">, so that when certain UL beam combinations from different UE panels are indicated in the PDCCH(s), the corresponding power control parameters can be inferred and applied for each individual uplink transmission. </w:t>
      </w:r>
    </w:p>
    <w:p w14:paraId="463A2768" w14:textId="4DBDA17E" w:rsidR="00B80008" w:rsidRDefault="00B80008" w:rsidP="005535BC">
      <w:pPr>
        <w:jc w:val="both"/>
      </w:pPr>
      <w:r>
        <w:t>It is proposed in [</w:t>
      </w:r>
      <w:r w:rsidR="00E21122">
        <w:t>6</w:t>
      </w:r>
      <w:r>
        <w:t xml:space="preserve">] that, by configuring common/shared parameters, signalling saving may be possible for the case of ideal / fast backhaul (e.g., single PDCCH) compared to the case of non-ideal / slow backhaul (e.g., multiple PDCCHs). In our view, however, even for multiple TRPs in the same site or for multiple panels of a same TRP, the QCL </w:t>
      </w:r>
      <w:r w:rsidR="00910B38">
        <w:t>assumptions</w:t>
      </w:r>
      <w:r>
        <w:t xml:space="preserve"> and uplink interference situation</w:t>
      </w:r>
      <w:r w:rsidR="00910B38">
        <w:t>s</w:t>
      </w:r>
      <w:r>
        <w:t xml:space="preserve"> may be quite different, and it is not clear whether </w:t>
      </w:r>
      <w:r w:rsidR="00910B38">
        <w:t xml:space="preserve">the </w:t>
      </w:r>
      <w:r>
        <w:t xml:space="preserve">same power control parameters can be shared by different </w:t>
      </w:r>
      <w:r w:rsidR="005535BC">
        <w:t xml:space="preserve">UL </w:t>
      </w:r>
      <w:r>
        <w:t xml:space="preserve">transmissions even for the case of ideal backhaul. Therefore, it might be </w:t>
      </w:r>
      <w:r w:rsidR="008D4DE4">
        <w:t xml:space="preserve">prudent and conservative </w:t>
      </w:r>
      <w:r>
        <w:t>for the network to keep a flexible configuration framework and independently configure all power control parameters corresponding to different UL beam indications</w:t>
      </w:r>
      <w:r w:rsidR="00910B38">
        <w:t xml:space="preserve"> from different UE panels</w:t>
      </w:r>
      <w:r>
        <w:t xml:space="preserve">. Of course, </w:t>
      </w:r>
      <w:r w:rsidR="00910B38">
        <w:t xml:space="preserve">if appropriate, </w:t>
      </w:r>
      <w:r>
        <w:t xml:space="preserve">the </w:t>
      </w:r>
      <w:proofErr w:type="spellStart"/>
      <w:r>
        <w:t>gNB</w:t>
      </w:r>
      <w:proofErr w:type="spellEnd"/>
      <w:r>
        <w:t xml:space="preserve"> can configure same values for </w:t>
      </w:r>
      <w:r w:rsidR="00910B38">
        <w:t>certain distinct</w:t>
      </w:r>
      <w:r>
        <w:t xml:space="preserve"> UL beam indications. </w:t>
      </w:r>
    </w:p>
    <w:p w14:paraId="773D1DE2" w14:textId="443274FB" w:rsidR="00B80008" w:rsidRDefault="00B80008" w:rsidP="00E32FA7">
      <w:pPr>
        <w:jc w:val="both"/>
      </w:pPr>
      <w:r>
        <w:t xml:space="preserve">Overall, it appears that no new procedure </w:t>
      </w:r>
      <w:r w:rsidR="00E32FA7">
        <w:t xml:space="preserve">is needed </w:t>
      </w:r>
      <w:r>
        <w:t>for configuration and indication of power control parameters compared to Rel-15 design.</w:t>
      </w:r>
    </w:p>
    <w:p w14:paraId="1D0F79C6" w14:textId="360261F6" w:rsidR="00B80008" w:rsidRPr="000D61CF" w:rsidRDefault="00B80008" w:rsidP="00E32FA7">
      <w:pPr>
        <w:jc w:val="both"/>
        <w:rPr>
          <w:i/>
        </w:rPr>
      </w:pPr>
      <w:r w:rsidRPr="00E1774C">
        <w:rPr>
          <w:b/>
          <w:i/>
          <w:u w:val="single"/>
        </w:rPr>
        <w:t xml:space="preserve">Proposal </w:t>
      </w:r>
      <w:r>
        <w:rPr>
          <w:b/>
          <w:i/>
          <w:u w:val="single"/>
        </w:rPr>
        <w:t>1</w:t>
      </w:r>
      <w:r w:rsidRPr="00E1774C">
        <w:rPr>
          <w:i/>
          <w:u w:val="single"/>
        </w:rPr>
        <w:t>:</w:t>
      </w:r>
      <w:r>
        <w:rPr>
          <w:i/>
        </w:rPr>
        <w:t xml:space="preserve"> </w:t>
      </w:r>
      <w:r w:rsidR="00E32FA7">
        <w:rPr>
          <w:i/>
        </w:rPr>
        <w:t xml:space="preserve">For </w:t>
      </w:r>
      <w:r w:rsidR="00E32FA7" w:rsidRPr="00E32FA7">
        <w:rPr>
          <w:i/>
        </w:rPr>
        <w:t>UE</w:t>
      </w:r>
      <w:r w:rsidR="0038585B">
        <w:rPr>
          <w:i/>
        </w:rPr>
        <w:t xml:space="preserve"> with multiple </w:t>
      </w:r>
      <w:r w:rsidR="00E32FA7" w:rsidRPr="00E32FA7">
        <w:rPr>
          <w:i/>
        </w:rPr>
        <w:t>panel</w:t>
      </w:r>
      <w:r w:rsidR="0038585B">
        <w:rPr>
          <w:i/>
        </w:rPr>
        <w:t>s</w:t>
      </w:r>
      <w:r w:rsidR="00E32FA7" w:rsidRPr="00E32FA7">
        <w:rPr>
          <w:i/>
        </w:rPr>
        <w:t xml:space="preserve">, </w:t>
      </w:r>
      <w:r w:rsidR="00E32FA7">
        <w:rPr>
          <w:i/>
        </w:rPr>
        <w:t>s</w:t>
      </w:r>
      <w:r w:rsidR="00910B38">
        <w:rPr>
          <w:i/>
        </w:rPr>
        <w:t xml:space="preserve">pecification should support independent configuration of </w:t>
      </w:r>
      <w:r w:rsidR="00910B38" w:rsidRPr="00910B38">
        <w:rPr>
          <w:i/>
        </w:rPr>
        <w:t>all power control parameters corresponding to different UL beam indications from different UE panels</w:t>
      </w:r>
      <w:r w:rsidR="00910B38">
        <w:rPr>
          <w:i/>
        </w:rPr>
        <w:t>.</w:t>
      </w:r>
      <w:r w:rsidR="00910B38" w:rsidRPr="00910B38">
        <w:rPr>
          <w:i/>
        </w:rPr>
        <w:t xml:space="preserve"> </w:t>
      </w:r>
      <w:r w:rsidR="00910B38" w:rsidRPr="00910B38">
        <w:rPr>
          <w:i/>
          <w:iCs/>
        </w:rPr>
        <w:t xml:space="preserve">No new procedure </w:t>
      </w:r>
      <w:r w:rsidR="00E32FA7" w:rsidRPr="00910B38">
        <w:rPr>
          <w:i/>
          <w:iCs/>
        </w:rPr>
        <w:t xml:space="preserve">is needed </w:t>
      </w:r>
      <w:r w:rsidR="00E32FA7">
        <w:rPr>
          <w:i/>
          <w:iCs/>
        </w:rPr>
        <w:t xml:space="preserve">for </w:t>
      </w:r>
      <w:r w:rsidR="00910B38" w:rsidRPr="00910B38">
        <w:rPr>
          <w:i/>
          <w:iCs/>
        </w:rPr>
        <w:t>configuration and indication of power control parameters compared to Rel-15 design</w:t>
      </w:r>
      <w:r w:rsidRPr="000D61CF">
        <w:rPr>
          <w:i/>
        </w:rPr>
        <w:t>.</w:t>
      </w:r>
    </w:p>
    <w:p w14:paraId="494C5D7C" w14:textId="63B5B5DA" w:rsidR="00B80008" w:rsidRDefault="00B80008" w:rsidP="00CC292D">
      <w:pPr>
        <w:jc w:val="both"/>
      </w:pPr>
      <w:r>
        <w:t xml:space="preserve">One further issue is whether </w:t>
      </w:r>
      <w:r w:rsidR="0038585B" w:rsidRPr="00A6326F">
        <w:t>UE with multiple panels</w:t>
      </w:r>
      <w:r>
        <w:t xml:space="preserve">, which </w:t>
      </w:r>
      <w:proofErr w:type="gramStart"/>
      <w:r>
        <w:t>is possibly targeted</w:t>
      </w:r>
      <w:proofErr w:type="gramEnd"/>
      <w:r>
        <w:t xml:space="preserve"> at different </w:t>
      </w:r>
      <w:r w:rsidR="009E1925">
        <w:t xml:space="preserve">TRPs or TRP panels, requires an increase in the number of power control parameters maintained at the UE compared to Rel-15 configurations. One recalls that, per RAN1 agreements, a UE maintains up to 32 UE-specific </w:t>
      </w:r>
      <w:r w:rsidR="00910B38">
        <w:t xml:space="preserve">PUSCH </w:t>
      </w:r>
      <w:r w:rsidR="009E1925">
        <w:t xml:space="preserve">P0 values, up </w:t>
      </w:r>
      <w:r w:rsidR="009E1925">
        <w:lastRenderedPageBreak/>
        <w:t xml:space="preserve">to 4 </w:t>
      </w:r>
      <w:proofErr w:type="spellStart"/>
      <w:r w:rsidR="009E1925">
        <w:t>pathloss</w:t>
      </w:r>
      <w:proofErr w:type="spellEnd"/>
      <w:r w:rsidR="009E1925">
        <w:t xml:space="preserve"> references, and up to 2 </w:t>
      </w:r>
      <w:r w:rsidR="00CC292D">
        <w:t xml:space="preserve">PUSCH </w:t>
      </w:r>
      <w:r w:rsidR="009E1925">
        <w:t xml:space="preserve">closed-loop processes, </w:t>
      </w:r>
      <w:r w:rsidR="00910B38">
        <w:t xml:space="preserve">etc., </w:t>
      </w:r>
      <w:r w:rsidR="009E1925">
        <w:t xml:space="preserve">per serving cell. In our view, </w:t>
      </w:r>
      <w:r w:rsidR="00910B38">
        <w:t xml:space="preserve">no </w:t>
      </w:r>
      <w:r w:rsidR="009E1925">
        <w:t>increase is needed</w:t>
      </w:r>
      <w:r w:rsidR="00910B38">
        <w:t xml:space="preserve"> in the number of PC parameters maintained at the UE</w:t>
      </w:r>
      <w:r w:rsidR="009E1925">
        <w:t>, since multi-TRP/panel operation was already supported in Rel-15 in a spec-transparent manner (e.g., as in dynamic point selection</w:t>
      </w:r>
      <w:r w:rsidR="00E32FA7">
        <w:t xml:space="preserve"> / TRP switching</w:t>
      </w:r>
      <w:r w:rsidR="009E1925">
        <w:t>)</w:t>
      </w:r>
      <w:r w:rsidR="00E32FA7">
        <w:t xml:space="preserve">, and Rel-15 numbers were decided including all such considerations. </w:t>
      </w:r>
    </w:p>
    <w:p w14:paraId="5305BA35" w14:textId="5E050BEB" w:rsidR="00B80008" w:rsidRDefault="00E32FA7" w:rsidP="009903A9">
      <w:pPr>
        <w:jc w:val="both"/>
      </w:pPr>
      <w:r w:rsidRPr="00E1774C">
        <w:rPr>
          <w:b/>
          <w:i/>
          <w:u w:val="single"/>
        </w:rPr>
        <w:t xml:space="preserve">Proposal </w:t>
      </w:r>
      <w:r>
        <w:rPr>
          <w:b/>
          <w:i/>
          <w:u w:val="single"/>
        </w:rPr>
        <w:t>2</w:t>
      </w:r>
      <w:r w:rsidRPr="00E1774C">
        <w:rPr>
          <w:i/>
          <w:u w:val="single"/>
        </w:rPr>
        <w:t>:</w:t>
      </w:r>
      <w:r>
        <w:rPr>
          <w:i/>
        </w:rPr>
        <w:t xml:space="preserve"> For </w:t>
      </w:r>
      <w:r w:rsidR="0038585B" w:rsidRPr="00E32FA7">
        <w:rPr>
          <w:i/>
        </w:rPr>
        <w:t>UE</w:t>
      </w:r>
      <w:r w:rsidR="0038585B">
        <w:rPr>
          <w:i/>
        </w:rPr>
        <w:t xml:space="preserve"> with multiple </w:t>
      </w:r>
      <w:r w:rsidR="0038585B" w:rsidRPr="00E32FA7">
        <w:rPr>
          <w:i/>
        </w:rPr>
        <w:t>panel</w:t>
      </w:r>
      <w:r w:rsidR="0038585B">
        <w:rPr>
          <w:i/>
        </w:rPr>
        <w:t>s</w:t>
      </w:r>
      <w:r w:rsidRPr="00E32FA7">
        <w:rPr>
          <w:i/>
        </w:rPr>
        <w:t xml:space="preserve">, </w:t>
      </w:r>
      <w:r w:rsidR="00F20510">
        <w:rPr>
          <w:i/>
        </w:rPr>
        <w:t xml:space="preserve">no increase </w:t>
      </w:r>
      <w:proofErr w:type="gramStart"/>
      <w:r w:rsidR="00F20510">
        <w:rPr>
          <w:i/>
        </w:rPr>
        <w:t xml:space="preserve">is </w:t>
      </w:r>
      <w:r>
        <w:rPr>
          <w:i/>
        </w:rPr>
        <w:t>needed</w:t>
      </w:r>
      <w:proofErr w:type="gramEnd"/>
      <w:r>
        <w:rPr>
          <w:i/>
        </w:rPr>
        <w:t xml:space="preserve"> for the number of OL/PL/CL power control parameters maintained at the UE compared to Rel-15.</w:t>
      </w:r>
    </w:p>
    <w:p w14:paraId="211586F0" w14:textId="6CE3E90D" w:rsidR="001F7A47" w:rsidRDefault="001F7A47" w:rsidP="001F7A47">
      <w:pPr>
        <w:pStyle w:val="Heading2"/>
      </w:pPr>
      <w:r>
        <w:t xml:space="preserve">PHR Definition and Format </w:t>
      </w:r>
    </w:p>
    <w:p w14:paraId="7F7A524B" w14:textId="6D7A5D09" w:rsidR="00C377FC" w:rsidRDefault="00C377FC" w:rsidP="00F20D81">
      <w:pPr>
        <w:jc w:val="both"/>
      </w:pPr>
      <w:r>
        <w:t xml:space="preserve">Rel-15 supports a single power headroom report (PHR) per serving cell, along with reporting the </w:t>
      </w:r>
      <w:proofErr w:type="spellStart"/>
      <w:r>
        <w:t>Pcmax</w:t>
      </w:r>
      <w:proofErr w:type="gramStart"/>
      <w:r w:rsidR="00563598">
        <w:t>,f,c</w:t>
      </w:r>
      <w:proofErr w:type="spellEnd"/>
      <w:proofErr w:type="gramEnd"/>
      <w:r>
        <w:t xml:space="preserve"> for the case of actual PHR. For </w:t>
      </w:r>
      <w:r w:rsidR="0082050D" w:rsidRPr="00A6326F">
        <w:t>UE with multiple panels</w:t>
      </w:r>
      <w:r>
        <w:t xml:space="preserve">, depending on the scenario, it might make sense to report </w:t>
      </w:r>
      <w:proofErr w:type="gramStart"/>
      <w:r>
        <w:t>1</w:t>
      </w:r>
      <w:proofErr w:type="gramEnd"/>
      <w:r>
        <w:t xml:space="preserve"> PHR as in Rel-15 (e.g., when transmission from all UE panels target a same TRP / TRP-panel) or to report multiple PHRs (e.g., when targeting different TRPs / TRP-panels). Since the PHR MAC-CE format needs to be fixed, it appears best to configure [N] PHRs per serving cell, where [N] is equal to the number of UE panels</w:t>
      </w:r>
      <w:r w:rsidR="0082050D">
        <w:t xml:space="preserve"> (or the number of UE panels that can be activated at a time) </w:t>
      </w:r>
      <w:r>
        <w:t xml:space="preserve">. </w:t>
      </w:r>
      <w:r w:rsidR="00F20D81">
        <w:t>If agreed in RAN1, this can be communicated to RAN2 as a preferred RAN1 design for P</w:t>
      </w:r>
      <w:r w:rsidR="00F20510">
        <w:t xml:space="preserve">HR format. Another aspect to </w:t>
      </w:r>
      <w:proofErr w:type="gramStart"/>
      <w:r w:rsidR="00F20510">
        <w:t xml:space="preserve">be </w:t>
      </w:r>
      <w:r w:rsidR="00F20D81">
        <w:t>considered</w:t>
      </w:r>
      <w:proofErr w:type="gramEnd"/>
      <w:r w:rsidR="00F20D81">
        <w:t xml:space="preserve"> is how to define virtual PHR in </w:t>
      </w:r>
      <w:r w:rsidR="0082050D" w:rsidRPr="00D00B16">
        <w:t>UE with multiple panels</w:t>
      </w:r>
      <w:r w:rsidR="00F20D81">
        <w:t xml:space="preserve">. </w:t>
      </w:r>
      <w:r>
        <w:t xml:space="preserve">  </w:t>
      </w:r>
    </w:p>
    <w:p w14:paraId="50547DF7" w14:textId="73D4B5AF" w:rsidR="00541F33" w:rsidRDefault="00F20D81" w:rsidP="00F20D81">
      <w:pPr>
        <w:jc w:val="both"/>
        <w:rPr>
          <w:i/>
        </w:rPr>
      </w:pPr>
      <w:r w:rsidRPr="00E1774C">
        <w:rPr>
          <w:b/>
          <w:i/>
          <w:u w:val="single"/>
        </w:rPr>
        <w:t xml:space="preserve">Proposal </w:t>
      </w:r>
      <w:r w:rsidR="00E21122">
        <w:rPr>
          <w:b/>
          <w:i/>
          <w:u w:val="single"/>
        </w:rPr>
        <w:t>3</w:t>
      </w:r>
      <w:r w:rsidRPr="00E1774C">
        <w:rPr>
          <w:i/>
          <w:u w:val="single"/>
        </w:rPr>
        <w:t>:</w:t>
      </w:r>
      <w:r>
        <w:rPr>
          <w:i/>
        </w:rPr>
        <w:t xml:space="preserve"> For </w:t>
      </w:r>
      <w:r w:rsidR="0082050D" w:rsidRPr="00E32FA7">
        <w:rPr>
          <w:i/>
        </w:rPr>
        <w:t>UE</w:t>
      </w:r>
      <w:r w:rsidR="0082050D">
        <w:rPr>
          <w:i/>
        </w:rPr>
        <w:t xml:space="preserve"> with multiple </w:t>
      </w:r>
      <w:r w:rsidR="0082050D" w:rsidRPr="00E32FA7">
        <w:rPr>
          <w:i/>
        </w:rPr>
        <w:t>panel</w:t>
      </w:r>
      <w:r w:rsidR="0082050D">
        <w:rPr>
          <w:i/>
        </w:rPr>
        <w:t>s</w:t>
      </w:r>
      <w:r>
        <w:rPr>
          <w:i/>
        </w:rPr>
        <w:t xml:space="preserve">, PHR format including the number of PHRs per serving cell and definition of virtual PHR needs to </w:t>
      </w:r>
      <w:proofErr w:type="gramStart"/>
      <w:r>
        <w:rPr>
          <w:i/>
        </w:rPr>
        <w:t>be considered</w:t>
      </w:r>
      <w:proofErr w:type="gramEnd"/>
      <w:r>
        <w:rPr>
          <w:i/>
        </w:rPr>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21253059" w:rsidR="009A0B47" w:rsidRDefault="007E5B46" w:rsidP="00E32FA7">
      <w:pPr>
        <w:jc w:val="both"/>
        <w:rPr>
          <w:lang w:eastAsia="ja-JP"/>
        </w:rPr>
      </w:pPr>
      <w:r>
        <w:t xml:space="preserve">In summary, </w:t>
      </w:r>
      <w:r>
        <w:rPr>
          <w:lang w:eastAsia="ja-JP"/>
        </w:rPr>
        <w:t xml:space="preserve">we propose the followings for </w:t>
      </w:r>
      <w:r w:rsidR="00E32FA7">
        <w:rPr>
          <w:lang w:eastAsia="ja-JP"/>
        </w:rPr>
        <w:t xml:space="preserve">multiple UE-panel </w:t>
      </w:r>
      <w:r>
        <w:rPr>
          <w:lang w:eastAsia="ja-JP"/>
        </w:rPr>
        <w:t>power control:</w:t>
      </w:r>
    </w:p>
    <w:p w14:paraId="367348FD" w14:textId="58DD9D34" w:rsidR="00E32FA7" w:rsidRPr="002A4988" w:rsidRDefault="00E32FA7" w:rsidP="00E32FA7">
      <w:pPr>
        <w:jc w:val="both"/>
      </w:pPr>
      <w:r w:rsidRPr="002A4988">
        <w:rPr>
          <w:b/>
          <w:u w:val="single"/>
        </w:rPr>
        <w:t>Proposal 1</w:t>
      </w:r>
      <w:r w:rsidRPr="002A4988">
        <w:rPr>
          <w:u w:val="single"/>
        </w:rPr>
        <w:t>:</w:t>
      </w:r>
      <w:r w:rsidRPr="002A4988">
        <w:t xml:space="preserve"> For </w:t>
      </w:r>
      <w:r w:rsidR="0082050D">
        <w:t xml:space="preserve">UE with </w:t>
      </w:r>
      <w:proofErr w:type="spellStart"/>
      <w:r w:rsidR="0082050D">
        <w:t>mutiple</w:t>
      </w:r>
      <w:proofErr w:type="spellEnd"/>
      <w:r w:rsidR="0082050D">
        <w:t xml:space="preserve"> panels</w:t>
      </w:r>
      <w:r w:rsidRPr="002A4988">
        <w:t xml:space="preserve">, specification should support independent configuration of all power control parameters corresponding to different UL beam indications from different UE panels. </w:t>
      </w:r>
      <w:r w:rsidRPr="002A4988">
        <w:rPr>
          <w:iCs/>
        </w:rPr>
        <w:t>No new procedure is needed for configuration and indication of power control parameters compared to Rel-15 design</w:t>
      </w:r>
      <w:r w:rsidRPr="002A4988">
        <w:t>.</w:t>
      </w:r>
    </w:p>
    <w:p w14:paraId="66DD3B52" w14:textId="48E4A975" w:rsidR="004853EC" w:rsidRPr="002A4988" w:rsidRDefault="00E32FA7" w:rsidP="002A4988">
      <w:pPr>
        <w:jc w:val="both"/>
      </w:pPr>
      <w:r w:rsidRPr="002A4988">
        <w:rPr>
          <w:b/>
          <w:u w:val="single"/>
        </w:rPr>
        <w:t>Proposal 2</w:t>
      </w:r>
      <w:r w:rsidRPr="002A4988">
        <w:rPr>
          <w:u w:val="single"/>
        </w:rPr>
        <w:t>:</w:t>
      </w:r>
      <w:r w:rsidRPr="002A4988">
        <w:t xml:space="preserve"> For </w:t>
      </w:r>
      <w:r w:rsidR="0082050D">
        <w:t xml:space="preserve">UE with </w:t>
      </w:r>
      <w:proofErr w:type="spellStart"/>
      <w:r w:rsidR="0082050D">
        <w:t>mutiple</w:t>
      </w:r>
      <w:proofErr w:type="spellEnd"/>
      <w:r w:rsidR="0082050D">
        <w:t xml:space="preserve"> panels</w:t>
      </w:r>
      <w:r w:rsidRPr="002A4988">
        <w:t xml:space="preserve">, no increase </w:t>
      </w:r>
      <w:proofErr w:type="gramStart"/>
      <w:r w:rsidRPr="002A4988">
        <w:t>is needed</w:t>
      </w:r>
      <w:proofErr w:type="gramEnd"/>
      <w:r w:rsidRPr="002A4988">
        <w:t xml:space="preserve"> for the number of OL/PL/CL power control parameters maintained at the UE compared to Rel-15.</w:t>
      </w:r>
    </w:p>
    <w:p w14:paraId="5577B4E8" w14:textId="128098BB" w:rsidR="00F20D81" w:rsidRPr="002A4988" w:rsidRDefault="00DE0E95" w:rsidP="00F20D81">
      <w:pPr>
        <w:jc w:val="both"/>
      </w:pPr>
      <w:r>
        <w:rPr>
          <w:b/>
          <w:u w:val="single"/>
        </w:rPr>
        <w:t>Propos</w:t>
      </w:r>
      <w:r w:rsidR="00E21122">
        <w:rPr>
          <w:b/>
          <w:u w:val="single"/>
        </w:rPr>
        <w:t>al 3</w:t>
      </w:r>
      <w:r w:rsidR="00F20D81" w:rsidRPr="002A4988">
        <w:rPr>
          <w:u w:val="single"/>
        </w:rPr>
        <w:t>:</w:t>
      </w:r>
      <w:r w:rsidR="00F20D81" w:rsidRPr="002A4988">
        <w:t xml:space="preserve"> For </w:t>
      </w:r>
      <w:r w:rsidR="0082050D">
        <w:t xml:space="preserve">UE with </w:t>
      </w:r>
      <w:proofErr w:type="spellStart"/>
      <w:r w:rsidR="0082050D">
        <w:t>mutiple</w:t>
      </w:r>
      <w:proofErr w:type="spellEnd"/>
      <w:r w:rsidR="0082050D">
        <w:t xml:space="preserve"> panels</w:t>
      </w:r>
      <w:r w:rsidR="00F20D81" w:rsidRPr="002A4988">
        <w:t xml:space="preserve">, PHR format including the number of PHRs per serving cell and definition of virtual PHR needs to </w:t>
      </w:r>
      <w:proofErr w:type="gramStart"/>
      <w:r w:rsidR="00F20D81" w:rsidRPr="002A4988">
        <w:t>be considered</w:t>
      </w:r>
      <w:proofErr w:type="gramEnd"/>
      <w:r w:rsidR="00F20D81" w:rsidRPr="002A4988">
        <w:t xml:space="preserve">.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6DDBCF9E" w14:textId="263498B7" w:rsidR="009E1925" w:rsidRDefault="009E1925" w:rsidP="00E32FA7">
      <w:pPr>
        <w:numPr>
          <w:ilvl w:val="0"/>
          <w:numId w:val="2"/>
        </w:numPr>
        <w:jc w:val="both"/>
        <w:rPr>
          <w:lang w:bidi="en-US"/>
        </w:rPr>
      </w:pPr>
      <w:r>
        <w:rPr>
          <w:lang w:bidi="en-US"/>
        </w:rPr>
        <w:t>“</w:t>
      </w:r>
      <w:r w:rsidRPr="003C7E08">
        <w:rPr>
          <w:lang w:bidi="en-US"/>
        </w:rPr>
        <w:t>RAN1 Chairman’s Notes</w:t>
      </w:r>
      <w:r>
        <w:rPr>
          <w:lang w:bidi="en-US"/>
        </w:rPr>
        <w:t xml:space="preserve">”, RAN1 #95, </w:t>
      </w:r>
      <w:r w:rsidR="00E32FA7">
        <w:rPr>
          <w:lang w:bidi="en-US"/>
        </w:rPr>
        <w:t>Spokane</w:t>
      </w:r>
      <w:r>
        <w:rPr>
          <w:lang w:bidi="en-US"/>
        </w:rPr>
        <w:t xml:space="preserve">, </w:t>
      </w:r>
      <w:r w:rsidR="00E32FA7">
        <w:rPr>
          <w:lang w:bidi="en-US"/>
        </w:rPr>
        <w:t>WA</w:t>
      </w:r>
      <w:r>
        <w:rPr>
          <w:lang w:bidi="en-US"/>
        </w:rPr>
        <w:t>, USA, November 2018.</w:t>
      </w:r>
    </w:p>
    <w:p w14:paraId="02CAE3E0" w14:textId="17CD75F0" w:rsidR="00FE21C7" w:rsidRDefault="00FE21C7" w:rsidP="00FE21C7">
      <w:pPr>
        <w:numPr>
          <w:ilvl w:val="0"/>
          <w:numId w:val="2"/>
        </w:numPr>
        <w:jc w:val="both"/>
        <w:rPr>
          <w:lang w:bidi="en-US"/>
        </w:rPr>
      </w:pPr>
      <w:r>
        <w:rPr>
          <w:lang w:bidi="en-US"/>
        </w:rPr>
        <w:t>“</w:t>
      </w:r>
      <w:r w:rsidRPr="003C7E08">
        <w:rPr>
          <w:lang w:bidi="en-US"/>
        </w:rPr>
        <w:t>RAN1 Chairman’s Notes</w:t>
      </w:r>
      <w:r>
        <w:rPr>
          <w:lang w:bidi="en-US"/>
        </w:rPr>
        <w:t>”, RAN1 AH-1901, Taipei, January 2019.</w:t>
      </w:r>
    </w:p>
    <w:p w14:paraId="041A347D" w14:textId="2BF973D1" w:rsidR="00CC6DC2" w:rsidRDefault="00CC6DC2" w:rsidP="009E1925">
      <w:pPr>
        <w:numPr>
          <w:ilvl w:val="0"/>
          <w:numId w:val="2"/>
        </w:numPr>
        <w:jc w:val="both"/>
        <w:rPr>
          <w:lang w:bidi="en-US"/>
        </w:rPr>
      </w:pPr>
      <w:r>
        <w:rPr>
          <w:lang w:bidi="en-US"/>
        </w:rPr>
        <w:t>“</w:t>
      </w:r>
      <w:r w:rsidRPr="003C7E08">
        <w:rPr>
          <w:lang w:bidi="en-US"/>
        </w:rPr>
        <w:t>RAN1 Chairman’s Notes</w:t>
      </w:r>
      <w:r w:rsidR="009E1925">
        <w:rPr>
          <w:lang w:bidi="en-US"/>
        </w:rPr>
        <w:t>”, RAN1 #94-bis</w:t>
      </w:r>
      <w:r>
        <w:rPr>
          <w:lang w:bidi="en-US"/>
        </w:rPr>
        <w:t xml:space="preserve">, </w:t>
      </w:r>
      <w:r w:rsidR="009E1925">
        <w:rPr>
          <w:lang w:bidi="en-US"/>
        </w:rPr>
        <w:t>Chengdu</w:t>
      </w:r>
      <w:r>
        <w:rPr>
          <w:lang w:bidi="en-US"/>
        </w:rPr>
        <w:t xml:space="preserve">, </w:t>
      </w:r>
      <w:r w:rsidR="009E1925">
        <w:rPr>
          <w:lang w:bidi="en-US"/>
        </w:rPr>
        <w:t>China</w:t>
      </w:r>
      <w:r>
        <w:rPr>
          <w:lang w:bidi="en-US"/>
        </w:rPr>
        <w:t xml:space="preserve">, </w:t>
      </w:r>
      <w:r w:rsidR="009E1925">
        <w:rPr>
          <w:lang w:bidi="en-US"/>
        </w:rPr>
        <w:t>October</w:t>
      </w:r>
      <w:r>
        <w:rPr>
          <w:lang w:bidi="en-US"/>
        </w:rPr>
        <w:t xml:space="preserve"> 2018.</w:t>
      </w:r>
    </w:p>
    <w:p w14:paraId="48248A8C" w14:textId="24BDBA34" w:rsidR="005F34D8" w:rsidRDefault="005F34D8" w:rsidP="005F34D8">
      <w:pPr>
        <w:numPr>
          <w:ilvl w:val="0"/>
          <w:numId w:val="2"/>
        </w:numPr>
        <w:jc w:val="both"/>
        <w:rPr>
          <w:lang w:bidi="en-US"/>
        </w:rPr>
      </w:pPr>
      <w:r>
        <w:rPr>
          <w:lang w:bidi="en-US"/>
        </w:rPr>
        <w:t>“</w:t>
      </w:r>
      <w:r w:rsidRPr="003C7E08">
        <w:rPr>
          <w:lang w:bidi="en-US"/>
        </w:rPr>
        <w:t>RAN1 Chairman’s Notes</w:t>
      </w:r>
      <w:r>
        <w:rPr>
          <w:lang w:bidi="en-US"/>
        </w:rPr>
        <w:t>”, RAN1 #96</w:t>
      </w:r>
      <w:r w:rsidR="00E21122">
        <w:rPr>
          <w:lang w:bidi="en-US"/>
        </w:rPr>
        <w:t>bis</w:t>
      </w:r>
      <w:r>
        <w:rPr>
          <w:lang w:bidi="en-US"/>
        </w:rPr>
        <w:t xml:space="preserve">, </w:t>
      </w:r>
      <w:r w:rsidR="00E21122">
        <w:rPr>
          <w:lang w:bidi="en-US"/>
        </w:rPr>
        <w:t>Xian</w:t>
      </w:r>
      <w:r>
        <w:rPr>
          <w:lang w:bidi="en-US"/>
        </w:rPr>
        <w:t xml:space="preserve">, </w:t>
      </w:r>
      <w:r w:rsidR="00E21122">
        <w:rPr>
          <w:lang w:bidi="en-US"/>
        </w:rPr>
        <w:t>China, April</w:t>
      </w:r>
      <w:r>
        <w:rPr>
          <w:lang w:bidi="en-US"/>
        </w:rPr>
        <w:t xml:space="preserve"> 2019.</w:t>
      </w:r>
    </w:p>
    <w:p w14:paraId="346F2307" w14:textId="71C24ECA" w:rsidR="00AD1568" w:rsidRPr="00FB5ACA" w:rsidRDefault="00AD1568" w:rsidP="00AD1568">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v15.</w:t>
      </w:r>
      <w:r w:rsidR="0038585B">
        <w:rPr>
          <w:bCs/>
        </w:rPr>
        <w:t>5</w:t>
      </w:r>
      <w:r>
        <w:rPr>
          <w:bCs/>
        </w:rPr>
        <w:t xml:space="preserve">.0, </w:t>
      </w:r>
      <w:r w:rsidR="0038585B">
        <w:rPr>
          <w:bCs/>
        </w:rPr>
        <w:t xml:space="preserve">March </w:t>
      </w:r>
      <w:r>
        <w:rPr>
          <w:bCs/>
        </w:rPr>
        <w:t>201</w:t>
      </w:r>
      <w:r w:rsidR="0038585B">
        <w:rPr>
          <w:bCs/>
        </w:rPr>
        <w:t>9</w:t>
      </w:r>
      <w:r>
        <w:rPr>
          <w:bCs/>
        </w:rPr>
        <w:t>.</w:t>
      </w:r>
    </w:p>
    <w:p w14:paraId="50C2F21F" w14:textId="732E3180" w:rsidR="00EA2984" w:rsidRDefault="009E1925" w:rsidP="00EA2984">
      <w:pPr>
        <w:numPr>
          <w:ilvl w:val="0"/>
          <w:numId w:val="2"/>
        </w:numPr>
        <w:jc w:val="both"/>
        <w:rPr>
          <w:lang w:bidi="en-US"/>
        </w:rPr>
      </w:pPr>
      <w:r w:rsidRPr="009E1925">
        <w:rPr>
          <w:lang w:bidi="en-US"/>
        </w:rPr>
        <w:t>R1-1812262, “Discussion on UL power control for multi-panel operation,” ZTE, RAN1</w:t>
      </w:r>
      <w:r w:rsidR="00E32FA7">
        <w:rPr>
          <w:lang w:bidi="en-US"/>
        </w:rPr>
        <w:t xml:space="preserve"> </w:t>
      </w:r>
      <w:r w:rsidRPr="009E1925">
        <w:rPr>
          <w:lang w:bidi="en-US"/>
        </w:rPr>
        <w:t>#95, November 2018.</w:t>
      </w:r>
    </w:p>
    <w:sectPr w:rsidR="00EA2984"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80C60" w14:textId="77777777" w:rsidR="00B33199" w:rsidRDefault="00B33199" w:rsidP="0050200A">
      <w:pPr>
        <w:spacing w:after="0"/>
      </w:pPr>
      <w:r>
        <w:separator/>
      </w:r>
    </w:p>
  </w:endnote>
  <w:endnote w:type="continuationSeparator" w:id="0">
    <w:p w14:paraId="61E5902F" w14:textId="77777777" w:rsidR="00B33199" w:rsidRDefault="00B33199"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B615" w14:textId="77777777" w:rsidR="00675F78" w:rsidRDefault="00675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00EA7" w14:textId="77777777" w:rsidR="00675F78" w:rsidRDefault="00675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80A4B" w14:textId="77777777" w:rsidR="00675F78" w:rsidRDefault="00675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0F991" w14:textId="77777777" w:rsidR="00B33199" w:rsidRDefault="00B33199" w:rsidP="0050200A">
      <w:pPr>
        <w:spacing w:after="0"/>
      </w:pPr>
      <w:r>
        <w:separator/>
      </w:r>
    </w:p>
  </w:footnote>
  <w:footnote w:type="continuationSeparator" w:id="0">
    <w:p w14:paraId="7D0FEC04" w14:textId="77777777" w:rsidR="00B33199" w:rsidRDefault="00B33199"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823" w14:textId="77777777" w:rsidR="00675F78" w:rsidRDefault="00675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F458" w14:textId="77777777" w:rsidR="00675F78" w:rsidRDefault="00675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6B647" w14:textId="77777777" w:rsidR="00675F78" w:rsidRDefault="00675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28"/>
  </w:num>
  <w:num w:numId="4">
    <w:abstractNumId w:val="20"/>
  </w:num>
  <w:num w:numId="5">
    <w:abstractNumId w:val="33"/>
  </w:num>
  <w:num w:numId="6">
    <w:abstractNumId w:val="21"/>
  </w:num>
  <w:num w:numId="7">
    <w:abstractNumId w:val="18"/>
  </w:num>
  <w:num w:numId="8">
    <w:abstractNumId w:val="2"/>
  </w:num>
  <w:num w:numId="9">
    <w:abstractNumId w:val="31"/>
  </w:num>
  <w:num w:numId="10">
    <w:abstractNumId w:val="16"/>
  </w:num>
  <w:num w:numId="11">
    <w:abstractNumId w:val="19"/>
  </w:num>
  <w:num w:numId="12">
    <w:abstractNumId w:val="11"/>
  </w:num>
  <w:num w:numId="13">
    <w:abstractNumId w:val="22"/>
  </w:num>
  <w:num w:numId="14">
    <w:abstractNumId w:val="6"/>
  </w:num>
  <w:num w:numId="15">
    <w:abstractNumId w:val="0"/>
  </w:num>
  <w:num w:numId="16">
    <w:abstractNumId w:val="17"/>
  </w:num>
  <w:num w:numId="17">
    <w:abstractNumId w:val="32"/>
  </w:num>
  <w:num w:numId="18">
    <w:abstractNumId w:val="30"/>
  </w:num>
  <w:num w:numId="19">
    <w:abstractNumId w:val="13"/>
  </w:num>
  <w:num w:numId="20">
    <w:abstractNumId w:val="1"/>
  </w:num>
  <w:num w:numId="21">
    <w:abstractNumId w:val="15"/>
  </w:num>
  <w:num w:numId="22">
    <w:abstractNumId w:val="2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25"/>
  </w:num>
  <w:num w:numId="27">
    <w:abstractNumId w:val="23"/>
  </w:num>
  <w:num w:numId="28">
    <w:abstractNumId w:val="28"/>
  </w:num>
  <w:num w:numId="29">
    <w:abstractNumId w:val="10"/>
  </w:num>
  <w:num w:numId="30">
    <w:abstractNumId w:val="14"/>
  </w:num>
  <w:num w:numId="31">
    <w:abstractNumId w:val="12"/>
  </w:num>
  <w:num w:numId="32">
    <w:abstractNumId w:val="8"/>
  </w:num>
  <w:num w:numId="33">
    <w:abstractNumId w:val="5"/>
  </w:num>
  <w:num w:numId="34">
    <w:abstractNumId w:val="27"/>
  </w:num>
  <w:num w:numId="3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7249E"/>
    <w:rsid w:val="00076639"/>
    <w:rsid w:val="00076BB5"/>
    <w:rsid w:val="00080792"/>
    <w:rsid w:val="00082161"/>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D7EA1"/>
    <w:rsid w:val="000E1597"/>
    <w:rsid w:val="000E241C"/>
    <w:rsid w:val="000E36A4"/>
    <w:rsid w:val="000E53EB"/>
    <w:rsid w:val="000E773D"/>
    <w:rsid w:val="000F0118"/>
    <w:rsid w:val="000F0BEE"/>
    <w:rsid w:val="000F0C1A"/>
    <w:rsid w:val="000F0DCA"/>
    <w:rsid w:val="000F126F"/>
    <w:rsid w:val="000F4A47"/>
    <w:rsid w:val="000F4A9D"/>
    <w:rsid w:val="000F6964"/>
    <w:rsid w:val="000F7EDF"/>
    <w:rsid w:val="001000E0"/>
    <w:rsid w:val="0010047B"/>
    <w:rsid w:val="00102977"/>
    <w:rsid w:val="00102A09"/>
    <w:rsid w:val="00104AD1"/>
    <w:rsid w:val="00105D1A"/>
    <w:rsid w:val="00115DC0"/>
    <w:rsid w:val="001168EB"/>
    <w:rsid w:val="001249F8"/>
    <w:rsid w:val="0013160C"/>
    <w:rsid w:val="00135B4C"/>
    <w:rsid w:val="001400BC"/>
    <w:rsid w:val="00140689"/>
    <w:rsid w:val="00140C63"/>
    <w:rsid w:val="00146FB1"/>
    <w:rsid w:val="001479C4"/>
    <w:rsid w:val="00151362"/>
    <w:rsid w:val="001537E3"/>
    <w:rsid w:val="00155911"/>
    <w:rsid w:val="0016067F"/>
    <w:rsid w:val="001646BD"/>
    <w:rsid w:val="0016592F"/>
    <w:rsid w:val="0017034E"/>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509A"/>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9EA"/>
    <w:rsid w:val="001D6A6A"/>
    <w:rsid w:val="001D7C5F"/>
    <w:rsid w:val="001E0F87"/>
    <w:rsid w:val="001E30A2"/>
    <w:rsid w:val="001E5E01"/>
    <w:rsid w:val="001E64C6"/>
    <w:rsid w:val="001E76BA"/>
    <w:rsid w:val="001F2641"/>
    <w:rsid w:val="001F7A47"/>
    <w:rsid w:val="001F7F0E"/>
    <w:rsid w:val="002021D9"/>
    <w:rsid w:val="00202DE3"/>
    <w:rsid w:val="0020660C"/>
    <w:rsid w:val="00207676"/>
    <w:rsid w:val="00212063"/>
    <w:rsid w:val="00213905"/>
    <w:rsid w:val="00213C38"/>
    <w:rsid w:val="00220AA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55B51"/>
    <w:rsid w:val="00261235"/>
    <w:rsid w:val="00262019"/>
    <w:rsid w:val="00264649"/>
    <w:rsid w:val="00264F79"/>
    <w:rsid w:val="00273BD3"/>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A4988"/>
    <w:rsid w:val="002B180A"/>
    <w:rsid w:val="002B22EB"/>
    <w:rsid w:val="002B242E"/>
    <w:rsid w:val="002B2C93"/>
    <w:rsid w:val="002B36AA"/>
    <w:rsid w:val="002B55E4"/>
    <w:rsid w:val="002B5C3D"/>
    <w:rsid w:val="002B6D44"/>
    <w:rsid w:val="002C2AE0"/>
    <w:rsid w:val="002C2C5B"/>
    <w:rsid w:val="002C7604"/>
    <w:rsid w:val="002D3B17"/>
    <w:rsid w:val="002D4067"/>
    <w:rsid w:val="002D44D8"/>
    <w:rsid w:val="002D47ED"/>
    <w:rsid w:val="002D59CD"/>
    <w:rsid w:val="002D6610"/>
    <w:rsid w:val="002D661B"/>
    <w:rsid w:val="002D7E4E"/>
    <w:rsid w:val="002E04EC"/>
    <w:rsid w:val="002E28EB"/>
    <w:rsid w:val="002E7049"/>
    <w:rsid w:val="002F34BC"/>
    <w:rsid w:val="00301296"/>
    <w:rsid w:val="003036DA"/>
    <w:rsid w:val="0030758A"/>
    <w:rsid w:val="0031228F"/>
    <w:rsid w:val="00312AA2"/>
    <w:rsid w:val="00312BE3"/>
    <w:rsid w:val="003130AC"/>
    <w:rsid w:val="003134AC"/>
    <w:rsid w:val="00316D42"/>
    <w:rsid w:val="0032219F"/>
    <w:rsid w:val="0032234C"/>
    <w:rsid w:val="003265F9"/>
    <w:rsid w:val="00326A4A"/>
    <w:rsid w:val="0033255E"/>
    <w:rsid w:val="003404D1"/>
    <w:rsid w:val="003421FB"/>
    <w:rsid w:val="00342951"/>
    <w:rsid w:val="003448C3"/>
    <w:rsid w:val="00345359"/>
    <w:rsid w:val="0035267C"/>
    <w:rsid w:val="00352A17"/>
    <w:rsid w:val="00352B98"/>
    <w:rsid w:val="00352BB8"/>
    <w:rsid w:val="0035348B"/>
    <w:rsid w:val="003573AC"/>
    <w:rsid w:val="00361500"/>
    <w:rsid w:val="00367EF3"/>
    <w:rsid w:val="00370F46"/>
    <w:rsid w:val="003738BD"/>
    <w:rsid w:val="00373965"/>
    <w:rsid w:val="00374CAF"/>
    <w:rsid w:val="00376D4A"/>
    <w:rsid w:val="0038509B"/>
    <w:rsid w:val="0038585B"/>
    <w:rsid w:val="00385D07"/>
    <w:rsid w:val="003862A0"/>
    <w:rsid w:val="00386B9E"/>
    <w:rsid w:val="00386CD4"/>
    <w:rsid w:val="00387834"/>
    <w:rsid w:val="00387B0E"/>
    <w:rsid w:val="0039045C"/>
    <w:rsid w:val="00391700"/>
    <w:rsid w:val="00393C73"/>
    <w:rsid w:val="0039428B"/>
    <w:rsid w:val="00395149"/>
    <w:rsid w:val="0039564A"/>
    <w:rsid w:val="00395954"/>
    <w:rsid w:val="00396752"/>
    <w:rsid w:val="0039791F"/>
    <w:rsid w:val="003A141A"/>
    <w:rsid w:val="003A1433"/>
    <w:rsid w:val="003A2E14"/>
    <w:rsid w:val="003A43FA"/>
    <w:rsid w:val="003B0D94"/>
    <w:rsid w:val="003B2CED"/>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2875"/>
    <w:rsid w:val="00443F0D"/>
    <w:rsid w:val="004536AD"/>
    <w:rsid w:val="00460FE1"/>
    <w:rsid w:val="00466170"/>
    <w:rsid w:val="00471619"/>
    <w:rsid w:val="00473CA0"/>
    <w:rsid w:val="0047406D"/>
    <w:rsid w:val="004740F9"/>
    <w:rsid w:val="00474F78"/>
    <w:rsid w:val="004853EC"/>
    <w:rsid w:val="004961E6"/>
    <w:rsid w:val="004964C2"/>
    <w:rsid w:val="00497B61"/>
    <w:rsid w:val="004A2ADB"/>
    <w:rsid w:val="004A3207"/>
    <w:rsid w:val="004A33BD"/>
    <w:rsid w:val="004A372D"/>
    <w:rsid w:val="004A593B"/>
    <w:rsid w:val="004B23BB"/>
    <w:rsid w:val="004B57D8"/>
    <w:rsid w:val="004B59A4"/>
    <w:rsid w:val="004B6D9D"/>
    <w:rsid w:val="004C04DD"/>
    <w:rsid w:val="004C7A6D"/>
    <w:rsid w:val="004D3EFF"/>
    <w:rsid w:val="004D64EE"/>
    <w:rsid w:val="004E3D80"/>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A46"/>
    <w:rsid w:val="00533B6F"/>
    <w:rsid w:val="0053414D"/>
    <w:rsid w:val="00541F33"/>
    <w:rsid w:val="00543ED1"/>
    <w:rsid w:val="005443FC"/>
    <w:rsid w:val="00546D32"/>
    <w:rsid w:val="00552E9A"/>
    <w:rsid w:val="005535BC"/>
    <w:rsid w:val="005542E5"/>
    <w:rsid w:val="0055521A"/>
    <w:rsid w:val="00555B23"/>
    <w:rsid w:val="00556434"/>
    <w:rsid w:val="00560467"/>
    <w:rsid w:val="00561889"/>
    <w:rsid w:val="00563598"/>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C025E"/>
    <w:rsid w:val="005C41C5"/>
    <w:rsid w:val="005D1508"/>
    <w:rsid w:val="005D45AB"/>
    <w:rsid w:val="005D4F35"/>
    <w:rsid w:val="005D608F"/>
    <w:rsid w:val="005D6939"/>
    <w:rsid w:val="005D696F"/>
    <w:rsid w:val="005E3026"/>
    <w:rsid w:val="005E5003"/>
    <w:rsid w:val="005E78F7"/>
    <w:rsid w:val="005F15A4"/>
    <w:rsid w:val="005F29AE"/>
    <w:rsid w:val="005F334A"/>
    <w:rsid w:val="005F34A5"/>
    <w:rsid w:val="005F34D8"/>
    <w:rsid w:val="005F39C4"/>
    <w:rsid w:val="005F5660"/>
    <w:rsid w:val="005F5A20"/>
    <w:rsid w:val="005F7E68"/>
    <w:rsid w:val="0060227D"/>
    <w:rsid w:val="00602978"/>
    <w:rsid w:val="00606C0C"/>
    <w:rsid w:val="00613A4F"/>
    <w:rsid w:val="00616650"/>
    <w:rsid w:val="00620176"/>
    <w:rsid w:val="00626884"/>
    <w:rsid w:val="00627EA0"/>
    <w:rsid w:val="00631A2C"/>
    <w:rsid w:val="006372A0"/>
    <w:rsid w:val="00641373"/>
    <w:rsid w:val="006437B0"/>
    <w:rsid w:val="0064409B"/>
    <w:rsid w:val="006453DE"/>
    <w:rsid w:val="00646C47"/>
    <w:rsid w:val="00650BA3"/>
    <w:rsid w:val="0066013F"/>
    <w:rsid w:val="00660539"/>
    <w:rsid w:val="006659BC"/>
    <w:rsid w:val="00665E65"/>
    <w:rsid w:val="0066600C"/>
    <w:rsid w:val="00670546"/>
    <w:rsid w:val="00670A88"/>
    <w:rsid w:val="00672992"/>
    <w:rsid w:val="00672FCB"/>
    <w:rsid w:val="0067533B"/>
    <w:rsid w:val="00675F78"/>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D0B3A"/>
    <w:rsid w:val="006D2E90"/>
    <w:rsid w:val="006E10D5"/>
    <w:rsid w:val="006E2BCF"/>
    <w:rsid w:val="006E30B4"/>
    <w:rsid w:val="006E64CA"/>
    <w:rsid w:val="006E6CD9"/>
    <w:rsid w:val="006F01C4"/>
    <w:rsid w:val="006F0331"/>
    <w:rsid w:val="006F67D5"/>
    <w:rsid w:val="006F6BC8"/>
    <w:rsid w:val="006F7B73"/>
    <w:rsid w:val="00704D1E"/>
    <w:rsid w:val="00707BD4"/>
    <w:rsid w:val="007113F1"/>
    <w:rsid w:val="00714EC7"/>
    <w:rsid w:val="00716147"/>
    <w:rsid w:val="00716400"/>
    <w:rsid w:val="00724624"/>
    <w:rsid w:val="00727709"/>
    <w:rsid w:val="0073101D"/>
    <w:rsid w:val="00731700"/>
    <w:rsid w:val="00732927"/>
    <w:rsid w:val="0074040A"/>
    <w:rsid w:val="0074420C"/>
    <w:rsid w:val="00744595"/>
    <w:rsid w:val="007453A2"/>
    <w:rsid w:val="00746743"/>
    <w:rsid w:val="00746B78"/>
    <w:rsid w:val="00747DF7"/>
    <w:rsid w:val="00757742"/>
    <w:rsid w:val="00757E77"/>
    <w:rsid w:val="00760BDD"/>
    <w:rsid w:val="00762170"/>
    <w:rsid w:val="00765237"/>
    <w:rsid w:val="00765491"/>
    <w:rsid w:val="007734FF"/>
    <w:rsid w:val="00775995"/>
    <w:rsid w:val="00775BCF"/>
    <w:rsid w:val="00787B60"/>
    <w:rsid w:val="00794D40"/>
    <w:rsid w:val="00797046"/>
    <w:rsid w:val="007A180B"/>
    <w:rsid w:val="007A3F4D"/>
    <w:rsid w:val="007B0AE4"/>
    <w:rsid w:val="007B36D3"/>
    <w:rsid w:val="007B67D7"/>
    <w:rsid w:val="007B692C"/>
    <w:rsid w:val="007B78EA"/>
    <w:rsid w:val="007B7925"/>
    <w:rsid w:val="007B7962"/>
    <w:rsid w:val="007B7CB3"/>
    <w:rsid w:val="007C4024"/>
    <w:rsid w:val="007C4BAB"/>
    <w:rsid w:val="007C559F"/>
    <w:rsid w:val="007C699A"/>
    <w:rsid w:val="007D1626"/>
    <w:rsid w:val="007D2708"/>
    <w:rsid w:val="007D2777"/>
    <w:rsid w:val="007D3D27"/>
    <w:rsid w:val="007E39A4"/>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2CDA"/>
    <w:rsid w:val="00815FCB"/>
    <w:rsid w:val="0082050D"/>
    <w:rsid w:val="008217A1"/>
    <w:rsid w:val="00822CC2"/>
    <w:rsid w:val="00823EAD"/>
    <w:rsid w:val="00824834"/>
    <w:rsid w:val="008271C1"/>
    <w:rsid w:val="00832D71"/>
    <w:rsid w:val="00843102"/>
    <w:rsid w:val="00844AC2"/>
    <w:rsid w:val="008500A0"/>
    <w:rsid w:val="00850D34"/>
    <w:rsid w:val="00852900"/>
    <w:rsid w:val="00853CA9"/>
    <w:rsid w:val="00856B32"/>
    <w:rsid w:val="0086058E"/>
    <w:rsid w:val="008623E2"/>
    <w:rsid w:val="00862695"/>
    <w:rsid w:val="008632DC"/>
    <w:rsid w:val="00866355"/>
    <w:rsid w:val="00872BBA"/>
    <w:rsid w:val="00873586"/>
    <w:rsid w:val="00874103"/>
    <w:rsid w:val="008767A1"/>
    <w:rsid w:val="00877447"/>
    <w:rsid w:val="00880CD3"/>
    <w:rsid w:val="0088241D"/>
    <w:rsid w:val="00882D82"/>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DC7"/>
    <w:rsid w:val="008B7CD4"/>
    <w:rsid w:val="008C26AF"/>
    <w:rsid w:val="008C2837"/>
    <w:rsid w:val="008C6AB0"/>
    <w:rsid w:val="008C7D31"/>
    <w:rsid w:val="008D4DE4"/>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0B38"/>
    <w:rsid w:val="0091219A"/>
    <w:rsid w:val="00916062"/>
    <w:rsid w:val="00916251"/>
    <w:rsid w:val="0091729F"/>
    <w:rsid w:val="00917960"/>
    <w:rsid w:val="00921859"/>
    <w:rsid w:val="00922BB1"/>
    <w:rsid w:val="00923A3D"/>
    <w:rsid w:val="00924760"/>
    <w:rsid w:val="009304D0"/>
    <w:rsid w:val="00930753"/>
    <w:rsid w:val="00930B01"/>
    <w:rsid w:val="009369D6"/>
    <w:rsid w:val="00942529"/>
    <w:rsid w:val="00942C27"/>
    <w:rsid w:val="009461C7"/>
    <w:rsid w:val="0095205B"/>
    <w:rsid w:val="00953A0C"/>
    <w:rsid w:val="00956A71"/>
    <w:rsid w:val="00956FD4"/>
    <w:rsid w:val="00960554"/>
    <w:rsid w:val="00961841"/>
    <w:rsid w:val="00961934"/>
    <w:rsid w:val="00962386"/>
    <w:rsid w:val="00963A5F"/>
    <w:rsid w:val="00963DD5"/>
    <w:rsid w:val="00963FA3"/>
    <w:rsid w:val="00966210"/>
    <w:rsid w:val="009755E5"/>
    <w:rsid w:val="009773BF"/>
    <w:rsid w:val="009773D4"/>
    <w:rsid w:val="00984067"/>
    <w:rsid w:val="00984729"/>
    <w:rsid w:val="009903A9"/>
    <w:rsid w:val="00991CA9"/>
    <w:rsid w:val="00997957"/>
    <w:rsid w:val="009A003E"/>
    <w:rsid w:val="009A0157"/>
    <w:rsid w:val="009A0B47"/>
    <w:rsid w:val="009A0CE6"/>
    <w:rsid w:val="009A1854"/>
    <w:rsid w:val="009A1B68"/>
    <w:rsid w:val="009A21CD"/>
    <w:rsid w:val="009A307A"/>
    <w:rsid w:val="009A3D6D"/>
    <w:rsid w:val="009B46B8"/>
    <w:rsid w:val="009B6C84"/>
    <w:rsid w:val="009C49D4"/>
    <w:rsid w:val="009C690E"/>
    <w:rsid w:val="009C75E6"/>
    <w:rsid w:val="009D26C8"/>
    <w:rsid w:val="009D42C4"/>
    <w:rsid w:val="009D522D"/>
    <w:rsid w:val="009E014B"/>
    <w:rsid w:val="009E0AC8"/>
    <w:rsid w:val="009E1925"/>
    <w:rsid w:val="009E285D"/>
    <w:rsid w:val="009E46B9"/>
    <w:rsid w:val="009F3788"/>
    <w:rsid w:val="009F4B62"/>
    <w:rsid w:val="009F53C0"/>
    <w:rsid w:val="009F557F"/>
    <w:rsid w:val="009F6111"/>
    <w:rsid w:val="009F7062"/>
    <w:rsid w:val="009F78EB"/>
    <w:rsid w:val="00A007EE"/>
    <w:rsid w:val="00A01BDA"/>
    <w:rsid w:val="00A07825"/>
    <w:rsid w:val="00A07DF1"/>
    <w:rsid w:val="00A1112C"/>
    <w:rsid w:val="00A12773"/>
    <w:rsid w:val="00A148E5"/>
    <w:rsid w:val="00A16563"/>
    <w:rsid w:val="00A1681D"/>
    <w:rsid w:val="00A16FCA"/>
    <w:rsid w:val="00A177A4"/>
    <w:rsid w:val="00A204DF"/>
    <w:rsid w:val="00A2684D"/>
    <w:rsid w:val="00A32EDC"/>
    <w:rsid w:val="00A34A8B"/>
    <w:rsid w:val="00A34E5E"/>
    <w:rsid w:val="00A35AB0"/>
    <w:rsid w:val="00A418C4"/>
    <w:rsid w:val="00A46396"/>
    <w:rsid w:val="00A60221"/>
    <w:rsid w:val="00A61C3C"/>
    <w:rsid w:val="00A62973"/>
    <w:rsid w:val="00A6326F"/>
    <w:rsid w:val="00A642A5"/>
    <w:rsid w:val="00A65E24"/>
    <w:rsid w:val="00A67DCC"/>
    <w:rsid w:val="00A7315B"/>
    <w:rsid w:val="00A73436"/>
    <w:rsid w:val="00A77CA0"/>
    <w:rsid w:val="00A845A3"/>
    <w:rsid w:val="00A85857"/>
    <w:rsid w:val="00A86D5E"/>
    <w:rsid w:val="00A8771E"/>
    <w:rsid w:val="00A91D10"/>
    <w:rsid w:val="00A93F0B"/>
    <w:rsid w:val="00AA70A2"/>
    <w:rsid w:val="00AA7D69"/>
    <w:rsid w:val="00AB12A9"/>
    <w:rsid w:val="00AB13AE"/>
    <w:rsid w:val="00AB1894"/>
    <w:rsid w:val="00AC013B"/>
    <w:rsid w:val="00AC2E8F"/>
    <w:rsid w:val="00AC35D0"/>
    <w:rsid w:val="00AC3BC9"/>
    <w:rsid w:val="00AC4572"/>
    <w:rsid w:val="00AC5EF7"/>
    <w:rsid w:val="00AD02E8"/>
    <w:rsid w:val="00AD1568"/>
    <w:rsid w:val="00AD234B"/>
    <w:rsid w:val="00AD327B"/>
    <w:rsid w:val="00AD564A"/>
    <w:rsid w:val="00AE6379"/>
    <w:rsid w:val="00AE656C"/>
    <w:rsid w:val="00AE680A"/>
    <w:rsid w:val="00AE68AE"/>
    <w:rsid w:val="00AF0077"/>
    <w:rsid w:val="00AF0B90"/>
    <w:rsid w:val="00AF16E4"/>
    <w:rsid w:val="00AF2641"/>
    <w:rsid w:val="00AF35A3"/>
    <w:rsid w:val="00AF3A9B"/>
    <w:rsid w:val="00AF7562"/>
    <w:rsid w:val="00AF77AA"/>
    <w:rsid w:val="00B04064"/>
    <w:rsid w:val="00B0771B"/>
    <w:rsid w:val="00B114BD"/>
    <w:rsid w:val="00B14167"/>
    <w:rsid w:val="00B1482A"/>
    <w:rsid w:val="00B2045E"/>
    <w:rsid w:val="00B20D55"/>
    <w:rsid w:val="00B26F19"/>
    <w:rsid w:val="00B30078"/>
    <w:rsid w:val="00B32EAD"/>
    <w:rsid w:val="00B33199"/>
    <w:rsid w:val="00B347CC"/>
    <w:rsid w:val="00B4197C"/>
    <w:rsid w:val="00B43F5E"/>
    <w:rsid w:val="00B4431C"/>
    <w:rsid w:val="00B535AE"/>
    <w:rsid w:val="00B53850"/>
    <w:rsid w:val="00B53A82"/>
    <w:rsid w:val="00B61D3E"/>
    <w:rsid w:val="00B6371A"/>
    <w:rsid w:val="00B63FCA"/>
    <w:rsid w:val="00B67458"/>
    <w:rsid w:val="00B6762B"/>
    <w:rsid w:val="00B72BB2"/>
    <w:rsid w:val="00B734E4"/>
    <w:rsid w:val="00B75BEA"/>
    <w:rsid w:val="00B80008"/>
    <w:rsid w:val="00B81FCD"/>
    <w:rsid w:val="00B867E7"/>
    <w:rsid w:val="00B90BB1"/>
    <w:rsid w:val="00B92C05"/>
    <w:rsid w:val="00B96109"/>
    <w:rsid w:val="00B976B6"/>
    <w:rsid w:val="00BA0275"/>
    <w:rsid w:val="00BA066D"/>
    <w:rsid w:val="00BA15EF"/>
    <w:rsid w:val="00BA1944"/>
    <w:rsid w:val="00BA526A"/>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D5D1F"/>
    <w:rsid w:val="00BF2916"/>
    <w:rsid w:val="00BF53CF"/>
    <w:rsid w:val="00BF545C"/>
    <w:rsid w:val="00BF5A74"/>
    <w:rsid w:val="00BF7014"/>
    <w:rsid w:val="00C03A02"/>
    <w:rsid w:val="00C05DA3"/>
    <w:rsid w:val="00C12B93"/>
    <w:rsid w:val="00C1385D"/>
    <w:rsid w:val="00C13E7B"/>
    <w:rsid w:val="00C15FAD"/>
    <w:rsid w:val="00C172EF"/>
    <w:rsid w:val="00C20C30"/>
    <w:rsid w:val="00C20CC5"/>
    <w:rsid w:val="00C2154D"/>
    <w:rsid w:val="00C21676"/>
    <w:rsid w:val="00C3467B"/>
    <w:rsid w:val="00C3521F"/>
    <w:rsid w:val="00C3567D"/>
    <w:rsid w:val="00C356A8"/>
    <w:rsid w:val="00C35792"/>
    <w:rsid w:val="00C36E05"/>
    <w:rsid w:val="00C36EF6"/>
    <w:rsid w:val="00C371D8"/>
    <w:rsid w:val="00C377FC"/>
    <w:rsid w:val="00C40C21"/>
    <w:rsid w:val="00C435B2"/>
    <w:rsid w:val="00C45635"/>
    <w:rsid w:val="00C47D07"/>
    <w:rsid w:val="00C52A55"/>
    <w:rsid w:val="00C5643E"/>
    <w:rsid w:val="00C5690E"/>
    <w:rsid w:val="00C700E2"/>
    <w:rsid w:val="00C756AD"/>
    <w:rsid w:val="00C75D4F"/>
    <w:rsid w:val="00C768E2"/>
    <w:rsid w:val="00C76FCB"/>
    <w:rsid w:val="00C80771"/>
    <w:rsid w:val="00C80D0D"/>
    <w:rsid w:val="00C84DF6"/>
    <w:rsid w:val="00C86F0A"/>
    <w:rsid w:val="00C9012D"/>
    <w:rsid w:val="00C9085C"/>
    <w:rsid w:val="00C91B4A"/>
    <w:rsid w:val="00C947B1"/>
    <w:rsid w:val="00C94A95"/>
    <w:rsid w:val="00C958CA"/>
    <w:rsid w:val="00C971FF"/>
    <w:rsid w:val="00CA132E"/>
    <w:rsid w:val="00CA3CB1"/>
    <w:rsid w:val="00CA578A"/>
    <w:rsid w:val="00CA6690"/>
    <w:rsid w:val="00CB4EAD"/>
    <w:rsid w:val="00CB5159"/>
    <w:rsid w:val="00CB52D3"/>
    <w:rsid w:val="00CB5F9C"/>
    <w:rsid w:val="00CB66E6"/>
    <w:rsid w:val="00CC0608"/>
    <w:rsid w:val="00CC0622"/>
    <w:rsid w:val="00CC116B"/>
    <w:rsid w:val="00CC292D"/>
    <w:rsid w:val="00CC375F"/>
    <w:rsid w:val="00CC47B0"/>
    <w:rsid w:val="00CC6DC2"/>
    <w:rsid w:val="00CC713E"/>
    <w:rsid w:val="00CD121E"/>
    <w:rsid w:val="00CD216C"/>
    <w:rsid w:val="00CD439E"/>
    <w:rsid w:val="00CD6068"/>
    <w:rsid w:val="00CD6394"/>
    <w:rsid w:val="00CD7620"/>
    <w:rsid w:val="00CE1B47"/>
    <w:rsid w:val="00CE2548"/>
    <w:rsid w:val="00CE59CF"/>
    <w:rsid w:val="00CF2C30"/>
    <w:rsid w:val="00CF2EEA"/>
    <w:rsid w:val="00CF7ED8"/>
    <w:rsid w:val="00D0010A"/>
    <w:rsid w:val="00D020E2"/>
    <w:rsid w:val="00D10C11"/>
    <w:rsid w:val="00D11251"/>
    <w:rsid w:val="00D11500"/>
    <w:rsid w:val="00D11CAC"/>
    <w:rsid w:val="00D121B5"/>
    <w:rsid w:val="00D1421D"/>
    <w:rsid w:val="00D15958"/>
    <w:rsid w:val="00D1704B"/>
    <w:rsid w:val="00D210C1"/>
    <w:rsid w:val="00D25765"/>
    <w:rsid w:val="00D25F7D"/>
    <w:rsid w:val="00D25FD1"/>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228D"/>
    <w:rsid w:val="00D973D5"/>
    <w:rsid w:val="00DA1796"/>
    <w:rsid w:val="00DA25EA"/>
    <w:rsid w:val="00DB1D56"/>
    <w:rsid w:val="00DB2B00"/>
    <w:rsid w:val="00DB3813"/>
    <w:rsid w:val="00DB491C"/>
    <w:rsid w:val="00DB4AB4"/>
    <w:rsid w:val="00DB5679"/>
    <w:rsid w:val="00DD04A6"/>
    <w:rsid w:val="00DD131E"/>
    <w:rsid w:val="00DE0E95"/>
    <w:rsid w:val="00DE2767"/>
    <w:rsid w:val="00DE36BE"/>
    <w:rsid w:val="00DF2401"/>
    <w:rsid w:val="00DF68F4"/>
    <w:rsid w:val="00DF7B2A"/>
    <w:rsid w:val="00E0292B"/>
    <w:rsid w:val="00E0321B"/>
    <w:rsid w:val="00E03AE0"/>
    <w:rsid w:val="00E046A9"/>
    <w:rsid w:val="00E04F71"/>
    <w:rsid w:val="00E05BCF"/>
    <w:rsid w:val="00E10AA7"/>
    <w:rsid w:val="00E11E4E"/>
    <w:rsid w:val="00E1381F"/>
    <w:rsid w:val="00E141BA"/>
    <w:rsid w:val="00E1774C"/>
    <w:rsid w:val="00E20BE5"/>
    <w:rsid w:val="00E21122"/>
    <w:rsid w:val="00E24D1B"/>
    <w:rsid w:val="00E32FA7"/>
    <w:rsid w:val="00E33F76"/>
    <w:rsid w:val="00E3560D"/>
    <w:rsid w:val="00E35B99"/>
    <w:rsid w:val="00E41518"/>
    <w:rsid w:val="00E421E5"/>
    <w:rsid w:val="00E4404E"/>
    <w:rsid w:val="00E45A9A"/>
    <w:rsid w:val="00E46F73"/>
    <w:rsid w:val="00E475C1"/>
    <w:rsid w:val="00E47A17"/>
    <w:rsid w:val="00E5006F"/>
    <w:rsid w:val="00E500A6"/>
    <w:rsid w:val="00E50E6A"/>
    <w:rsid w:val="00E51743"/>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29BB"/>
    <w:rsid w:val="00F14D45"/>
    <w:rsid w:val="00F15E5A"/>
    <w:rsid w:val="00F17543"/>
    <w:rsid w:val="00F20510"/>
    <w:rsid w:val="00F20D81"/>
    <w:rsid w:val="00F2427A"/>
    <w:rsid w:val="00F25C1A"/>
    <w:rsid w:val="00F274E0"/>
    <w:rsid w:val="00F304DF"/>
    <w:rsid w:val="00F35722"/>
    <w:rsid w:val="00F363D9"/>
    <w:rsid w:val="00F36543"/>
    <w:rsid w:val="00F4079D"/>
    <w:rsid w:val="00F40D66"/>
    <w:rsid w:val="00F41497"/>
    <w:rsid w:val="00F42850"/>
    <w:rsid w:val="00F43572"/>
    <w:rsid w:val="00F45B54"/>
    <w:rsid w:val="00F50D32"/>
    <w:rsid w:val="00F54AF4"/>
    <w:rsid w:val="00F600B8"/>
    <w:rsid w:val="00F61356"/>
    <w:rsid w:val="00F62443"/>
    <w:rsid w:val="00F6392D"/>
    <w:rsid w:val="00F63AD2"/>
    <w:rsid w:val="00F63D42"/>
    <w:rsid w:val="00F64332"/>
    <w:rsid w:val="00F6636F"/>
    <w:rsid w:val="00F7315A"/>
    <w:rsid w:val="00F75893"/>
    <w:rsid w:val="00F8344E"/>
    <w:rsid w:val="00F86D0E"/>
    <w:rsid w:val="00F93FBE"/>
    <w:rsid w:val="00F94B95"/>
    <w:rsid w:val="00F95D83"/>
    <w:rsid w:val="00FA2107"/>
    <w:rsid w:val="00FA2D8A"/>
    <w:rsid w:val="00FA53E8"/>
    <w:rsid w:val="00FA5BF4"/>
    <w:rsid w:val="00FB0CE8"/>
    <w:rsid w:val="00FB5ACA"/>
    <w:rsid w:val="00FB641E"/>
    <w:rsid w:val="00FB6EEE"/>
    <w:rsid w:val="00FB7CF2"/>
    <w:rsid w:val="00FC0002"/>
    <w:rsid w:val="00FC0802"/>
    <w:rsid w:val="00FC0FAD"/>
    <w:rsid w:val="00FC2D34"/>
    <w:rsid w:val="00FC3E2D"/>
    <w:rsid w:val="00FD0C1F"/>
    <w:rsid w:val="00FD4405"/>
    <w:rsid w:val="00FE21C7"/>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paragraph" w:customStyle="1" w:styleId="LGTdoc">
    <w:name w:val="LGTdoc_본문"/>
    <w:basedOn w:val="Normal"/>
    <w:link w:val="LGTdocChar"/>
    <w:qFormat/>
    <w:rsid w:val="00FB0CE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qFormat/>
    <w:rsid w:val="00FB0CE8"/>
    <w:rPr>
      <w:rFonts w:ascii="Times New Roman" w:eastAsia="Batang" w:hAnsi="Times New Roman" w:cs="Times New Roman"/>
      <w:kern w:val="2"/>
      <w:szCs w:val="24"/>
      <w:lang w:val="en-GB" w:eastAsia="ko-KR"/>
    </w:rPr>
  </w:style>
  <w:style w:type="paragraph" w:customStyle="1" w:styleId="3GPPHeader">
    <w:name w:val="3GPP_Header"/>
    <w:basedOn w:val="Normal"/>
    <w:qFormat/>
    <w:rsid w:val="009E1925"/>
    <w:pPr>
      <w:tabs>
        <w:tab w:val="left" w:pos="1800"/>
        <w:tab w:val="right" w:pos="9360"/>
      </w:tabs>
      <w:spacing w:after="0" w:line="276" w:lineRule="auto"/>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AEBEF-BACA-4F23-BA90-D9156805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2019-02-16T10:08:00Z</dcterms:created>
  <dcterms:modified xsi:type="dcterms:W3CDTF">2019-05-04T03:29:00Z</dcterms:modified>
</cp:coreProperties>
</file>